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6" w:rsidRPr="005D23F6" w:rsidRDefault="005D23F6" w:rsidP="005D23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Фінансове</w:t>
      </w:r>
      <w:proofErr w:type="spellEnd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забезпечення</w:t>
      </w:r>
      <w:proofErr w:type="spellEnd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комунального</w:t>
      </w:r>
      <w:proofErr w:type="spellEnd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транспорту:</w:t>
      </w:r>
    </w:p>
    <w:p w:rsidR="005D23F6" w:rsidRDefault="005D23F6" w:rsidP="005D23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проблеми</w:t>
      </w:r>
      <w:proofErr w:type="spellEnd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шляхи </w:t>
      </w:r>
      <w:proofErr w:type="spellStart"/>
      <w:r w:rsidRPr="005D2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вирішення</w:t>
      </w:r>
      <w:proofErr w:type="spellEnd"/>
    </w:p>
    <w:p w:rsidR="003909C7" w:rsidRPr="003909C7" w:rsidRDefault="003909C7" w:rsidP="003909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9C7">
        <w:rPr>
          <w:rFonts w:ascii="Times New Roman" w:hAnsi="Times New Roman" w:cs="Times New Roman"/>
          <w:sz w:val="28"/>
          <w:szCs w:val="28"/>
          <w:lang w:val="uk-UA"/>
        </w:rPr>
        <w:t>Транспортна інфраструктура - одна з ключових галузей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9C7">
        <w:rPr>
          <w:rFonts w:ascii="Times New Roman" w:hAnsi="Times New Roman" w:cs="Times New Roman"/>
          <w:sz w:val="28"/>
          <w:szCs w:val="28"/>
          <w:lang w:val="uk-UA"/>
        </w:rPr>
        <w:t xml:space="preserve">економіки, яка забезпечує територіальну цілісність держави та об'єднання економічного простору країни та об'єднання економічного простору країни. Нинішній стан справ, на думку багатьох експертів, є </w:t>
      </w:r>
      <w:proofErr w:type="spellStart"/>
      <w:r w:rsidRPr="003909C7">
        <w:rPr>
          <w:rFonts w:ascii="Times New Roman" w:hAnsi="Times New Roman" w:cs="Times New Roman"/>
          <w:sz w:val="28"/>
          <w:szCs w:val="28"/>
          <w:lang w:val="uk-UA"/>
        </w:rPr>
        <w:t>незадовільнимРозвиток</w:t>
      </w:r>
      <w:proofErr w:type="spellEnd"/>
      <w:r w:rsidRPr="003909C7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 покликаний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9C7">
        <w:rPr>
          <w:rFonts w:ascii="Times New Roman" w:hAnsi="Times New Roman" w:cs="Times New Roman"/>
          <w:sz w:val="28"/>
          <w:szCs w:val="28"/>
          <w:lang w:val="uk-UA"/>
        </w:rPr>
        <w:t>сприяти соціально-економічному розвитку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09C7">
        <w:rPr>
          <w:rFonts w:ascii="Times New Roman" w:hAnsi="Times New Roman" w:cs="Times New Roman"/>
          <w:sz w:val="28"/>
          <w:szCs w:val="28"/>
          <w:lang w:val="uk-UA"/>
        </w:rPr>
        <w:t>міста та покращенню імід</w:t>
      </w:r>
      <w:r>
        <w:rPr>
          <w:rFonts w:ascii="Times New Roman" w:hAnsi="Times New Roman" w:cs="Times New Roman"/>
          <w:sz w:val="28"/>
          <w:szCs w:val="28"/>
          <w:lang w:val="uk-UA"/>
        </w:rPr>
        <w:t>жу і якості транспортних послуг</w:t>
      </w:r>
      <w:r w:rsidRPr="003909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A56" w:rsidRDefault="007E1A56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A56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Україна, яка перебуває в періоді соціально-економічного зростання, рухалася в напрямку європейської інтеграції, необхідні фундаментальні реформи в усіх сферах.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, таких як транспорт та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державотворчі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Нинішня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криза в транспортному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A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1A56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транспортного сектору.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Союзом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E1A5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E1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>.</w:t>
      </w:r>
    </w:p>
    <w:p w:rsidR="007E1A56" w:rsidRPr="007E1A56" w:rsidRDefault="005D23F6" w:rsidP="004434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3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23F6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5D23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нормативно-правової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середньострокового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нац</w:t>
      </w:r>
      <w:r w:rsidR="00443435">
        <w:rPr>
          <w:rFonts w:ascii="Times New Roman" w:hAnsi="Times New Roman" w:cs="Times New Roman"/>
          <w:sz w:val="28"/>
          <w:szCs w:val="28"/>
        </w:rPr>
        <w:t>іональної</w:t>
      </w:r>
      <w:proofErr w:type="spellEnd"/>
      <w:r w:rsidR="0044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35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44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3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443435">
        <w:rPr>
          <w:rFonts w:ascii="Times New Roman" w:hAnsi="Times New Roman" w:cs="Times New Roman"/>
          <w:sz w:val="28"/>
          <w:szCs w:val="28"/>
        </w:rPr>
        <w:t>.</w:t>
      </w:r>
    </w:p>
    <w:p w:rsidR="007E1A56" w:rsidRDefault="007E1A56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A56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Транспортна інфраструктура позитивно впливає на розвиток національних економік і сприяє їх швидкій інтеграції в регіональні об'єднання та світову економіку. Використання об'єктів транспортної інфраструктури сприяє розширенню міжнародних економічних зв'язків і прискорює тенденцію до глобалізації в розвитку сучасної цивілізації [4]. </w:t>
      </w:r>
      <w:r w:rsidRPr="007E1A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галузевій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валової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доданої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r w:rsidRPr="007E1A56">
        <w:rPr>
          <w:rFonts w:ascii="Times New Roman" w:hAnsi="Times New Roman" w:cs="Times New Roman"/>
          <w:sz w:val="28"/>
          <w:szCs w:val="28"/>
        </w:rPr>
        <w:lastRenderedPageBreak/>
        <w:t xml:space="preserve">додана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, таким як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>.</w:t>
      </w:r>
    </w:p>
    <w:p w:rsidR="00FF4D2D" w:rsidRDefault="00FF4D2D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D2D">
        <w:rPr>
          <w:rFonts w:ascii="Times New Roman" w:hAnsi="Times New Roman" w:cs="Times New Roman"/>
          <w:sz w:val="28"/>
          <w:szCs w:val="28"/>
          <w:lang w:val="uk-UA"/>
        </w:rPr>
        <w:t xml:space="preserve">Аналіз структури валової доданої вартості за видами економічної діяльності за період 2010-2018 років показує, що оптова та роздрібна торгівля та ремонт автотранспортних засобів і мотоциклів переважають над іншими видами економічної діяльності.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статистичними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невелика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валової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доданої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в 7,3% у 2014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в 9,2% у 2011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валової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4D2D"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>.</w:t>
      </w:r>
    </w:p>
    <w:p w:rsidR="004E4D0C" w:rsidRPr="004E4D0C" w:rsidRDefault="004E4D0C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D0C">
        <w:rPr>
          <w:rFonts w:ascii="Times New Roman" w:hAnsi="Times New Roman" w:cs="Times New Roman"/>
          <w:sz w:val="28"/>
          <w:szCs w:val="28"/>
          <w:lang w:val="uk-UA"/>
        </w:rPr>
        <w:t xml:space="preserve">Аналіз структури капітальних інвестицій за видами економічної діяльності показує, що капітальні інвестиції в транспортну інфраструктуру залишаються значними, особливо внаслідок політичних подій 2014-2016 років.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сектор в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D0C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моральним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зносом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0C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E4D0C">
        <w:rPr>
          <w:rFonts w:ascii="Times New Roman" w:hAnsi="Times New Roman" w:cs="Times New Roman"/>
          <w:sz w:val="28"/>
          <w:szCs w:val="28"/>
        </w:rPr>
        <w:t>.</w:t>
      </w:r>
    </w:p>
    <w:p w:rsidR="005D23F6" w:rsidRPr="005D23F6" w:rsidRDefault="005D23F6" w:rsidP="004E4D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F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912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6" w:rsidRDefault="005D23F6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F6">
        <w:rPr>
          <w:rFonts w:ascii="Times New Roman" w:hAnsi="Times New Roman" w:cs="Times New Roman"/>
          <w:sz w:val="28"/>
          <w:szCs w:val="28"/>
        </w:rPr>
        <w:tab/>
        <w:t xml:space="preserve">Рис. 1. Структура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валової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доданої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3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D23F6">
        <w:rPr>
          <w:rFonts w:ascii="Times New Roman" w:hAnsi="Times New Roman" w:cs="Times New Roman"/>
          <w:sz w:val="28"/>
          <w:szCs w:val="28"/>
        </w:rPr>
        <w:t>, у %.</w:t>
      </w:r>
    </w:p>
    <w:p w:rsidR="00FF4D2D" w:rsidRDefault="00FF4D2D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транспортного сектору в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кризового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у 2010-2013 роках,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сягнувши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96,7%,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2014 року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зафіксувавши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у 2017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47,6%,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транспортом.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термінового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транспортом доведено </w:t>
      </w:r>
      <w:proofErr w:type="gramStart"/>
      <w:r w:rsidRPr="00FF4D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транспортом (рис. 2).</w:t>
      </w:r>
    </w:p>
    <w:p w:rsidR="007E1A56" w:rsidRDefault="007E1A56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A56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зношеність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у транспортному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E1A5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E1A56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техногенних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6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E1A56">
        <w:rPr>
          <w:rFonts w:ascii="Times New Roman" w:hAnsi="Times New Roman" w:cs="Times New Roman"/>
          <w:sz w:val="28"/>
          <w:szCs w:val="28"/>
        </w:rPr>
        <w:t>.</w:t>
      </w:r>
    </w:p>
    <w:p w:rsidR="00573D75" w:rsidRDefault="00573D75" w:rsidP="007E1A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D75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573D75">
        <w:rPr>
          <w:rFonts w:ascii="Times New Roman" w:hAnsi="Times New Roman" w:cs="Times New Roman"/>
          <w:sz w:val="28"/>
          <w:szCs w:val="28"/>
        </w:rPr>
        <w:t xml:space="preserve"> сектору. Структура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lastRenderedPageBreak/>
        <w:t>фінансової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3D75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транспортного сектору в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(Рис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3D75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5D23F6" w:rsidRDefault="005D23F6" w:rsidP="003909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24291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09" cy="24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75" w:rsidRPr="00573D75" w:rsidRDefault="00573D75" w:rsidP="003909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3D75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3D7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зношеності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73D75">
        <w:rPr>
          <w:rFonts w:ascii="Times New Roman" w:hAnsi="Times New Roman" w:cs="Times New Roman"/>
          <w:sz w:val="28"/>
          <w:szCs w:val="28"/>
        </w:rPr>
        <w:t>транспортному</w:t>
      </w:r>
      <w:proofErr w:type="gram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(%).</w:t>
      </w:r>
    </w:p>
    <w:p w:rsidR="005D23F6" w:rsidRPr="005D23F6" w:rsidRDefault="005D23F6" w:rsidP="005D23F6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325" cy="270442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0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75" w:rsidRDefault="00573D75" w:rsidP="00FF4D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D75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3D75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жерела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транспортного сектору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FF4D2D" w:rsidRPr="005D23F6" w:rsidRDefault="00FF4D2D" w:rsidP="00FF4D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транспортного сектору.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як видно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2014 по 2017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2016 року, коли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сягнув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748,7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прибутковою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критична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у 2013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142,34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2014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- </w:t>
      </w:r>
      <w:r w:rsidRPr="00FF4D2D">
        <w:rPr>
          <w:rFonts w:ascii="Times New Roman" w:hAnsi="Times New Roman" w:cs="Times New Roman"/>
          <w:sz w:val="28"/>
          <w:szCs w:val="28"/>
        </w:rPr>
        <w:lastRenderedPageBreak/>
        <w:t xml:space="preserve">259,16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2015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- 178,48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у 2017-2012 роках становило 199,44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>.</w:t>
      </w:r>
    </w:p>
    <w:p w:rsidR="005D23F6" w:rsidRDefault="005D23F6" w:rsidP="005D23F6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573D75" w:rsidRPr="00573D75" w:rsidRDefault="00573D75" w:rsidP="00573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D75">
        <w:rPr>
          <w:rFonts w:ascii="Times New Roman" w:hAnsi="Times New Roman" w:cs="Times New Roman"/>
          <w:sz w:val="28"/>
          <w:szCs w:val="28"/>
          <w:lang w:val="uk-UA"/>
        </w:rPr>
        <w:t>Внутрішні джерела фінансування транспортних підприємств України (2012-2017 рр.), млн. грн.</w:t>
      </w:r>
    </w:p>
    <w:p w:rsidR="005D23F6" w:rsidRPr="005D23F6" w:rsidRDefault="005D23F6" w:rsidP="005D23F6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3253477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5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6" w:rsidRPr="005D23F6" w:rsidRDefault="005D23F6" w:rsidP="005D23F6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2550" cy="285211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463" cy="285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6" w:rsidRPr="00573D75" w:rsidRDefault="005D23F6" w:rsidP="005D23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sz w:val="28"/>
          <w:szCs w:val="28"/>
          <w:lang w:val="uk-UA"/>
        </w:rPr>
        <w:t xml:space="preserve">Рис. 4.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73D75" w:rsidRPr="00573D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>)</w:t>
      </w:r>
      <w:r w:rsidR="00573D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A90" w:rsidRDefault="001B0A90" w:rsidP="00FF4D2D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Слід зазначити, що акціонерний капітал транспортних компаній в Україні зазнав значних змін за період, охоплений дослідженням: вартість акціонерного капіталу транспортних компаній у 2017 році становила 625,69 </w:t>
      </w:r>
      <w:proofErr w:type="spellStart"/>
      <w:r w:rsidRPr="001B0A9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B0A90">
        <w:rPr>
          <w:rFonts w:ascii="Times New Roman" w:hAnsi="Times New Roman" w:cs="Times New Roman"/>
          <w:sz w:val="28"/>
          <w:szCs w:val="28"/>
          <w:lang w:val="uk-UA"/>
        </w:rPr>
        <w:t xml:space="preserve"> угорських форинтів, що на 439,84 </w:t>
      </w:r>
      <w:proofErr w:type="spellStart"/>
      <w:r w:rsidRPr="001B0A9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B0A90">
        <w:rPr>
          <w:rFonts w:ascii="Times New Roman" w:hAnsi="Times New Roman" w:cs="Times New Roman"/>
          <w:sz w:val="28"/>
          <w:szCs w:val="28"/>
          <w:lang w:val="uk-UA"/>
        </w:rPr>
        <w:t xml:space="preserve"> угорських форинтів більше, ніж у 2012 році. Позитивна динаміка зростання цього показника свідчить про значне накопичення власного капіталу транспортними компаніями в Україні.</w:t>
      </w:r>
    </w:p>
    <w:p w:rsidR="001B0A90" w:rsidRPr="001B0A90" w:rsidRDefault="001B0A90" w:rsidP="001B0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стан транспортного сектору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A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0A9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сектору.</w:t>
      </w:r>
    </w:p>
    <w:p w:rsidR="001B0A90" w:rsidRDefault="001B0A90" w:rsidP="001B0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A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трамвайних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тролейбусних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>.</w:t>
      </w:r>
    </w:p>
    <w:p w:rsidR="00FF4D2D" w:rsidRDefault="00FF4D2D" w:rsidP="001B0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недостатньою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фінансовою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як на державному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бюджетах.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ільгові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покриваються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покриваються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транспортного сектору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успішним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, у 2016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інвестиційний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банк та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наземного транспорту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D2D">
        <w:rPr>
          <w:rFonts w:ascii="Times New Roman" w:hAnsi="Times New Roman" w:cs="Times New Roman"/>
          <w:sz w:val="28"/>
          <w:szCs w:val="28"/>
        </w:rPr>
        <w:t>ідписали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угоду про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проекту "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транспорт в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". Проект буде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реалізовуватися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2D">
        <w:rPr>
          <w:rFonts w:ascii="Times New Roman" w:hAnsi="Times New Roman" w:cs="Times New Roman"/>
          <w:sz w:val="28"/>
          <w:szCs w:val="28"/>
        </w:rPr>
        <w:t>п'ятирічн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2, Рис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4D2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573D75" w:rsidRDefault="00573D75" w:rsidP="001B0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75" w:rsidRDefault="00573D75" w:rsidP="001B0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75" w:rsidRPr="00573D75" w:rsidRDefault="00573D75" w:rsidP="001B0A90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3F6" w:rsidRDefault="005D23F6" w:rsidP="005D23F6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FE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2</w:t>
      </w:r>
    </w:p>
    <w:p w:rsidR="00573D75" w:rsidRPr="00573D75" w:rsidRDefault="00573D75" w:rsidP="00573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проекту "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транспорт в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>".</w:t>
      </w:r>
    </w:p>
    <w:p w:rsidR="005D23F6" w:rsidRPr="005D23F6" w:rsidRDefault="005D23F6" w:rsidP="007F0FEE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2322837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2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6" w:rsidRPr="005D23F6" w:rsidRDefault="005D23F6" w:rsidP="007F0FEE">
      <w:pPr>
        <w:tabs>
          <w:tab w:val="left" w:pos="16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3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1876774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7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EE" w:rsidRDefault="007F0FEE" w:rsidP="007F0F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05">
        <w:rPr>
          <w:rFonts w:ascii="Times New Roman" w:hAnsi="Times New Roman" w:cs="Times New Roman"/>
          <w:sz w:val="28"/>
          <w:szCs w:val="28"/>
          <w:lang w:val="uk-UA"/>
        </w:rPr>
        <w:t xml:space="preserve">Рис. 5.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транспорту в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, млн.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>.</w:t>
      </w:r>
    </w:p>
    <w:p w:rsidR="004E4D0C" w:rsidRDefault="00095C07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F4D2D" w:rsidRPr="00FF4D2D">
        <w:rPr>
          <w:rFonts w:ascii="Times New Roman" w:hAnsi="Times New Roman" w:cs="Times New Roman"/>
          <w:sz w:val="28"/>
          <w:szCs w:val="28"/>
          <w:lang w:val="uk-UA"/>
        </w:rPr>
        <w:t xml:space="preserve">начне зростання інвестицій в основний капітал на транспорті пов'язане з процесом децентралізації в Україні: з 2016 року зросла частка бюджетних коштів у джерелах капітальних інвестицій, а також частка інвестицій з місцевих бюджетів у загальному обсязі бюджетних інвестицій. З цього ж року капітальні інвестиції в Україні демонструють високу динаміку в усіх видах економічної діяльності. </w:t>
      </w:r>
    </w:p>
    <w:p w:rsidR="007E1A56" w:rsidRDefault="007E1A56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D2D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Транспортна галузь в Україні перебуває у складній ситуації і потребує радикальних реформ та фінансових інвестицій для досягнення позитивних змін. </w:t>
      </w:r>
      <w:r w:rsidRPr="003909C7">
        <w:rPr>
          <w:rFonts w:ascii="Times New Roman" w:hAnsi="Times New Roman" w:cs="Times New Roman"/>
          <w:sz w:val="28"/>
          <w:szCs w:val="28"/>
          <w:lang w:val="uk-UA"/>
        </w:rPr>
        <w:t xml:space="preserve">У провідних країнах світу з розвиненою транспортною інфраструктурою лізинг є одним з основних джерел фінансової підтримки </w:t>
      </w:r>
      <w:r w:rsidRPr="003909C7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гравців транспортної галузі для підвищення їх конкурентоспроможності та виведення на новий рівень на ринку.</w:t>
      </w:r>
    </w:p>
    <w:p w:rsidR="00FF4D2D" w:rsidRDefault="00095C07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Лізингову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. По-перше, як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логістику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матеріально-технічних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довгострокове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C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C07">
        <w:rPr>
          <w:rFonts w:ascii="Times New Roman" w:hAnsi="Times New Roman" w:cs="Times New Roman"/>
          <w:sz w:val="28"/>
          <w:szCs w:val="28"/>
        </w:rPr>
        <w:t>ідприємствам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5C07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095C0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лізингових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[5].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95C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95C07">
        <w:rPr>
          <w:rFonts w:ascii="Times New Roman" w:hAnsi="Times New Roman" w:cs="Times New Roman"/>
          <w:sz w:val="28"/>
          <w:szCs w:val="28"/>
        </w:rPr>
        <w:t>ізингових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транспортній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змінювалася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: у 2011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становила 744 346 000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лізингових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- 61</w:t>
      </w:r>
      <w:proofErr w:type="gramStart"/>
      <w:r w:rsidR="00FF4D2D" w:rsidRPr="00FF4D2D">
        <w:rPr>
          <w:rFonts w:ascii="Times New Roman" w:hAnsi="Times New Roman" w:cs="Times New Roman"/>
          <w:sz w:val="28"/>
          <w:szCs w:val="28"/>
        </w:rPr>
        <w:t>% У</w:t>
      </w:r>
      <w:proofErr w:type="gram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2015-2017 роках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транспортній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банківською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кризою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2014-2017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скороченням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FF4D2D" w:rsidRPr="00FF4D2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FF4D2D" w:rsidRPr="00FF4D2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F4D2D" w:rsidRPr="00FF4D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4D2D" w:rsidRPr="00FF4D2D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FF4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D2D" w:rsidRPr="00FF4D2D">
        <w:rPr>
          <w:rFonts w:ascii="Times New Roman" w:hAnsi="Times New Roman" w:cs="Times New Roman"/>
          <w:sz w:val="28"/>
          <w:szCs w:val="28"/>
        </w:rPr>
        <w:t>3, Рис</w:t>
      </w:r>
      <w:r w:rsidR="00FF4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4D2D" w:rsidRPr="00FF4D2D">
        <w:rPr>
          <w:rFonts w:ascii="Times New Roman" w:hAnsi="Times New Roman" w:cs="Times New Roman"/>
          <w:sz w:val="28"/>
          <w:szCs w:val="28"/>
        </w:rPr>
        <w:t>6).</w:t>
      </w:r>
    </w:p>
    <w:p w:rsidR="00811220" w:rsidRDefault="00811220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транспорту в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12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надмірними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. Доходи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тарифі</w:t>
      </w:r>
      <w:proofErr w:type="gramStart"/>
      <w:r w:rsidRPr="0081122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фінансувати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лізингові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2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макроекономічної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лізинг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фінансовим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застарілого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складу та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>.</w:t>
      </w:r>
    </w:p>
    <w:p w:rsidR="004E4D0C" w:rsidRDefault="004E4D0C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D0C" w:rsidRDefault="004E4D0C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D0C" w:rsidRDefault="004E4D0C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D0C" w:rsidRPr="004E4D0C" w:rsidRDefault="004E4D0C" w:rsidP="007F0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FEE" w:rsidRDefault="007F0FEE" w:rsidP="007F0FEE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FE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3</w:t>
      </w:r>
    </w:p>
    <w:p w:rsidR="00573D75" w:rsidRPr="00573D75" w:rsidRDefault="00573D75" w:rsidP="007F0FE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73D75">
        <w:rPr>
          <w:rFonts w:ascii="Times New Roman" w:hAnsi="Times New Roman" w:cs="Times New Roman"/>
          <w:sz w:val="28"/>
          <w:szCs w:val="28"/>
        </w:rPr>
        <w:t>транспортному</w:t>
      </w:r>
      <w:proofErr w:type="gramEnd"/>
      <w:r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3D7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73D75">
        <w:rPr>
          <w:rFonts w:ascii="Times New Roman" w:hAnsi="Times New Roman" w:cs="Times New Roman"/>
          <w:sz w:val="28"/>
          <w:szCs w:val="28"/>
        </w:rPr>
        <w:t>.</w:t>
      </w:r>
    </w:p>
    <w:p w:rsidR="007F0FEE" w:rsidRDefault="007F0FEE" w:rsidP="007F0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F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4269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F6" w:rsidRDefault="007F0FEE" w:rsidP="007F0FEE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F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6699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EE" w:rsidRDefault="007F0FEE" w:rsidP="007F0FEE">
      <w:pPr>
        <w:tabs>
          <w:tab w:val="left" w:pos="6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505">
        <w:rPr>
          <w:rFonts w:ascii="Times New Roman" w:hAnsi="Times New Roman" w:cs="Times New Roman"/>
          <w:sz w:val="28"/>
          <w:szCs w:val="28"/>
          <w:lang w:val="uk-UA"/>
        </w:rPr>
        <w:t xml:space="preserve">Рис. 6.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73D75" w:rsidRPr="00573D75">
        <w:rPr>
          <w:rFonts w:ascii="Times New Roman" w:hAnsi="Times New Roman" w:cs="Times New Roman"/>
          <w:sz w:val="28"/>
          <w:szCs w:val="28"/>
        </w:rPr>
        <w:t>транспортному</w:t>
      </w:r>
      <w:proofErr w:type="gram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 xml:space="preserve"> у 2010-2018 роках (млн. </w:t>
      </w:r>
      <w:proofErr w:type="spellStart"/>
      <w:r w:rsidR="00573D75" w:rsidRPr="00573D7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73D75" w:rsidRPr="00573D75">
        <w:rPr>
          <w:rFonts w:ascii="Times New Roman" w:hAnsi="Times New Roman" w:cs="Times New Roman"/>
          <w:sz w:val="28"/>
          <w:szCs w:val="28"/>
        </w:rPr>
        <w:t>.)</w:t>
      </w:r>
    </w:p>
    <w:p w:rsidR="00095C07" w:rsidRDefault="00095C07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C0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лізингових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на 92,1% за </w:t>
      </w:r>
      <w:proofErr w:type="spellStart"/>
      <w:proofErr w:type="gramStart"/>
      <w:r w:rsidRPr="00095C0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5C07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аналогічним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2018 року. При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лізингових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на 39,7% Станом на 31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споживачем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лізингових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1 763,3 </w:t>
      </w:r>
      <w:proofErr w:type="spellStart"/>
      <w:proofErr w:type="gramStart"/>
      <w:r w:rsidRPr="00095C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5C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C0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потребував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здешевлення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державно-приватного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 xml:space="preserve"> партнерства та </w:t>
      </w:r>
      <w:proofErr w:type="spellStart"/>
      <w:r w:rsidRPr="00095C07">
        <w:rPr>
          <w:rFonts w:ascii="Times New Roman" w:hAnsi="Times New Roman" w:cs="Times New Roman"/>
          <w:sz w:val="28"/>
          <w:szCs w:val="28"/>
        </w:rPr>
        <w:t>мікрокредитування</w:t>
      </w:r>
      <w:proofErr w:type="spellEnd"/>
      <w:r w:rsidRPr="00095C07">
        <w:rPr>
          <w:rFonts w:ascii="Times New Roman" w:hAnsi="Times New Roman" w:cs="Times New Roman"/>
          <w:sz w:val="28"/>
          <w:szCs w:val="28"/>
        </w:rPr>
        <w:t>.</w:t>
      </w:r>
    </w:p>
    <w:p w:rsidR="00811220" w:rsidRDefault="00811220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220">
        <w:rPr>
          <w:rFonts w:ascii="Times New Roman" w:hAnsi="Times New Roman" w:cs="Times New Roman"/>
          <w:sz w:val="28"/>
          <w:szCs w:val="28"/>
          <w:lang w:val="uk-UA"/>
        </w:rPr>
        <w:t xml:space="preserve">Низька конкуренція між різними видами транспортних операторів, застарілі бізнес-структури підприємств, брак бюджетних коштів на розвиток промисловості, пріоритетність власних проблем транспортних операторів над </w:t>
      </w:r>
      <w:r w:rsidRPr="008112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суспільними питаннями, співпраця з іншими суб'єктами та суб'єктами промислового розвитку для пошуку можливостей удосконалення підходів та збільшення внутрішніх джерел фінансової підтримки, взаємодія з власниками бізнесу Відсутній.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невирішені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державно-приватного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22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1122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транспортного сектору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2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11220">
        <w:rPr>
          <w:rFonts w:ascii="Times New Roman" w:hAnsi="Times New Roman" w:cs="Times New Roman"/>
          <w:sz w:val="28"/>
          <w:szCs w:val="28"/>
        </w:rPr>
        <w:t>.</w:t>
      </w:r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34">
        <w:rPr>
          <w:rFonts w:ascii="Times New Roman" w:hAnsi="Times New Roman" w:cs="Times New Roman"/>
          <w:sz w:val="28"/>
          <w:szCs w:val="28"/>
        </w:rPr>
        <w:t xml:space="preserve">Таким чином, для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>.</w:t>
      </w:r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озробити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мереж</w:t>
      </w:r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транспорту.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оптимізацію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>.</w:t>
      </w:r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алучення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proofErr w:type="gramStart"/>
      <w:r w:rsidRPr="00CF4B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F4B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F4B34">
        <w:rPr>
          <w:rFonts w:ascii="Times New Roman" w:hAnsi="Times New Roman" w:cs="Times New Roman"/>
          <w:sz w:val="28"/>
          <w:szCs w:val="28"/>
        </w:rPr>
        <w:t>вестори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>.</w:t>
      </w:r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B34">
        <w:rPr>
          <w:rFonts w:ascii="Times New Roman" w:hAnsi="Times New Roman" w:cs="Times New Roman"/>
          <w:sz w:val="28"/>
          <w:szCs w:val="28"/>
        </w:rPr>
        <w:lastRenderedPageBreak/>
        <w:t>Необхідно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сектор.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F4B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B34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>.</w:t>
      </w:r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</w:p>
    <w:p w:rsidR="00CF4B34" w:rsidRPr="00CF4B34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B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B34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F4B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B3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усвідомлений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видами транспорту.</w:t>
      </w:r>
    </w:p>
    <w:p w:rsidR="006679FD" w:rsidRDefault="00CF4B34" w:rsidP="00CF4B34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транспорту.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заходи, як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F4B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B3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забезпечать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B3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F4B34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Default="006679FD" w:rsidP="007F0FEE">
      <w:pPr>
        <w:tabs>
          <w:tab w:val="left" w:pos="6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FD" w:rsidRPr="00A71518" w:rsidRDefault="006679FD" w:rsidP="006679FD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служба статистики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A71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www.ukrstat.gov.ua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 Клименко І.В. Лізинг у системі забезпечення надання транспортної послуги автотранспортним підприємством / І.В. Клименко // Економіка України. – 2014. – 632 с. 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Рибчук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Наднаціональна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нестабільності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глобального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71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Рибчук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, 2015. – 364 с. 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</w:rPr>
        <w:t xml:space="preserve">Пащенко Ю.Є.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Державно-приватне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партнерство у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/ Ю.Є. Пащенко //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>. – 2015. – С. 54–56</w:t>
      </w:r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  <w:lang w:val="uk-UA"/>
        </w:rPr>
        <w:t>Підсумки діяльності фінансових компаній, ломбардів та юридичних осіб (</w:t>
      </w:r>
      <w:proofErr w:type="spellStart"/>
      <w:r w:rsidRPr="00A71518">
        <w:rPr>
          <w:rFonts w:ascii="Times New Roman" w:hAnsi="Times New Roman" w:cs="Times New Roman"/>
          <w:sz w:val="28"/>
          <w:szCs w:val="28"/>
          <w:lang w:val="uk-UA"/>
        </w:rPr>
        <w:t>лізингодавців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) за 2010–2018 роки [Електронний ресурс]. – Режим доступу :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://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nfp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  <w:lang w:val="uk-UA"/>
        </w:rPr>
        <w:t>Підсумки діяльності фінансових компаній, ломбардів та юридичних осіб (</w:t>
      </w:r>
      <w:proofErr w:type="spellStart"/>
      <w:r w:rsidRPr="00A71518">
        <w:rPr>
          <w:rFonts w:ascii="Times New Roman" w:hAnsi="Times New Roman" w:cs="Times New Roman"/>
          <w:sz w:val="28"/>
          <w:szCs w:val="28"/>
          <w:lang w:val="uk-UA"/>
        </w:rPr>
        <w:t>лізингодавців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) за 2010–2018 роки [Електронний ресурс]. – Режим доступу :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://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nfp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5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державно-приватного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партнерства :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A7151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№ 279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2011 р. [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A71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71518">
          <w:rPr>
            <w:rStyle w:val="a6"/>
            <w:rFonts w:ascii="Times New Roman" w:hAnsi="Times New Roman" w:cs="Times New Roman"/>
            <w:sz w:val="28"/>
            <w:szCs w:val="28"/>
          </w:rPr>
          <w:t>http://zakon.rada.gov.ua/cgi-bin/laws/main.cgi?nreg=279-2011-%EF</w:t>
        </w:r>
      </w:hyperlink>
      <w:r w:rsidRPr="00A71518">
        <w:rPr>
          <w:rFonts w:ascii="Times New Roman" w:hAnsi="Times New Roman" w:cs="Times New Roman"/>
          <w:sz w:val="28"/>
          <w:szCs w:val="28"/>
        </w:rPr>
        <w:t>.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</w:rPr>
        <w:t xml:space="preserve"> Про транспорт</w:t>
      </w:r>
      <w:proofErr w:type="gramStart"/>
      <w:r w:rsidRPr="00A71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№ 232/94-ВР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10.11.1994 р. [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A71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71518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https://zakon.rada.gov.ua/laws/show/232/94-%D0%B2%D1%80</w:t>
        </w:r>
      </w:hyperlink>
      <w:r w:rsidRPr="00A71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 Про схвалення Національної транспортної стратегії України на період до 2030 року : Розпорядження Кабінету Міністрів України № 430 р. від 30 травня 2018 р. [Електронний ресурс]. – Режим доступу :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/430-2018-%</w:t>
      </w:r>
      <w:r w:rsidRPr="00A71518">
        <w:rPr>
          <w:rFonts w:ascii="Times New Roman" w:hAnsi="Times New Roman" w:cs="Times New Roman"/>
          <w:sz w:val="28"/>
          <w:szCs w:val="28"/>
        </w:rPr>
        <w:t>D</w:t>
      </w:r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1%80. </w:t>
      </w:r>
    </w:p>
    <w:p w:rsidR="006679FD" w:rsidRPr="00A71518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ратифікацію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угоди (Проект «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proofErr w:type="gramStart"/>
      <w:r w:rsidRPr="00A7151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інвестиційним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банком [</w:t>
      </w:r>
      <w:proofErr w:type="spellStart"/>
      <w:r w:rsidRPr="00A7151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71518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A71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151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71518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https://zakon.rada.gov.ua/laws/show/2009-19</w:t>
        </w:r>
      </w:hyperlink>
      <w:r w:rsidRPr="00A71518">
        <w:rPr>
          <w:rFonts w:ascii="Times New Roman" w:hAnsi="Times New Roman" w:cs="Times New Roman"/>
          <w:sz w:val="28"/>
          <w:szCs w:val="28"/>
        </w:rPr>
        <w:t>.</w:t>
      </w:r>
    </w:p>
    <w:p w:rsidR="006679FD" w:rsidRPr="00DA6915" w:rsidRDefault="006679FD" w:rsidP="006679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518">
        <w:rPr>
          <w:rFonts w:ascii="Times New Roman" w:hAnsi="Times New Roman" w:cs="Times New Roman"/>
          <w:sz w:val="28"/>
          <w:szCs w:val="28"/>
          <w:lang w:val="uk-UA"/>
        </w:rPr>
        <w:t>Слободяник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 xml:space="preserve"> Ю.Б. Фінансовий механізм функціонування підприємств пасажирського автотранспорту в сучасних умовах : монографія / Ю.Б. </w:t>
      </w:r>
      <w:proofErr w:type="spellStart"/>
      <w:r w:rsidRPr="00A71518">
        <w:rPr>
          <w:rFonts w:ascii="Times New Roman" w:hAnsi="Times New Roman" w:cs="Times New Roman"/>
          <w:sz w:val="28"/>
          <w:szCs w:val="28"/>
          <w:lang w:val="uk-UA"/>
        </w:rPr>
        <w:t>Слободяник</w:t>
      </w:r>
      <w:proofErr w:type="spellEnd"/>
      <w:r w:rsidRPr="00A71518">
        <w:rPr>
          <w:rFonts w:ascii="Times New Roman" w:hAnsi="Times New Roman" w:cs="Times New Roman"/>
          <w:sz w:val="28"/>
          <w:szCs w:val="28"/>
          <w:lang w:val="uk-UA"/>
        </w:rPr>
        <w:t>. – Суми, 2007. – 199 с.</w:t>
      </w:r>
    </w:p>
    <w:p w:rsidR="00DA6915" w:rsidRPr="00DA6915" w:rsidRDefault="00DA6915" w:rsidP="00DA69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http://publications.ntu.edu.ua/visnyk/52/145_153.pdf</w:t>
        </w:r>
      </w:hyperlink>
    </w:p>
    <w:p w:rsidR="00DA6915" w:rsidRPr="00DA6915" w:rsidRDefault="00DA6915" w:rsidP="00DA69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91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: </w:t>
      </w:r>
      <w:hyperlink r:id="rId1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economy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nayka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/?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op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=1&amp;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z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=3827</w:t>
        </w:r>
      </w:hyperlink>
    </w:p>
    <w:p w:rsidR="00DA6915" w:rsidRPr="00DA6915" w:rsidRDefault="00DA6915" w:rsidP="00DA69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investplan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r w:rsidRPr="00DA691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/10_2017/12.</w:t>
        </w:r>
        <w:proofErr w:type="spellStart"/>
        <w:r w:rsidRPr="00DA6915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DA6915" w:rsidRPr="00DA6915" w:rsidRDefault="00DA6915" w:rsidP="00DA6915">
      <w:pPr>
        <w:pStyle w:val="found"/>
        <w:numPr>
          <w:ilvl w:val="0"/>
          <w:numId w:val="1"/>
        </w:numPr>
        <w:spacing w:line="360" w:lineRule="auto"/>
        <w:rPr>
          <w:color w:val="000000"/>
          <w:sz w:val="28"/>
          <w:szCs w:val="28"/>
          <w:lang w:val="en-US"/>
        </w:rPr>
      </w:pPr>
      <w:hyperlink r:id="rId2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DA6915">
          <w:rPr>
            <w:rStyle w:val="a6"/>
            <w:sz w:val="28"/>
            <w:szCs w:val="28"/>
            <w:lang w:val="en-US"/>
          </w:rPr>
          <w:t>http://dspace.wunu.edu.ua/bitstream/316497/19241/1/</w:t>
        </w:r>
        <w:r w:rsidRPr="00DA6915">
          <w:rPr>
            <w:rStyle w:val="a6"/>
            <w:sz w:val="28"/>
            <w:szCs w:val="28"/>
          </w:rPr>
          <w:t>Посіб</w:t>
        </w:r>
        <w:r w:rsidRPr="00DA6915">
          <w:rPr>
            <w:rStyle w:val="a6"/>
            <w:sz w:val="28"/>
            <w:szCs w:val="28"/>
            <w:lang w:val="en-US"/>
          </w:rPr>
          <w:t>. .</w:t>
        </w:r>
        <w:proofErr w:type="spellStart"/>
        <w:r w:rsidRPr="00DA6915">
          <w:rPr>
            <w:rStyle w:val="a6"/>
            <w:sz w:val="28"/>
            <w:szCs w:val="28"/>
            <w:lang w:val="en-US"/>
          </w:rPr>
          <w:t>pdf</w:t>
        </w:r>
        <w:proofErr w:type="spellEnd"/>
      </w:hyperlink>
    </w:p>
    <w:p w:rsidR="00DA6915" w:rsidRPr="00DA6915" w:rsidRDefault="00DA6915" w:rsidP="00DA6915">
      <w:pPr>
        <w:pStyle w:val="a5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FEE" w:rsidRPr="00DA6915" w:rsidRDefault="007F0FEE" w:rsidP="00DA6915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0FEE" w:rsidRPr="00DA6915" w:rsidSect="00D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2559"/>
    <w:multiLevelType w:val="hybridMultilevel"/>
    <w:tmpl w:val="DE48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C81F96"/>
    <w:multiLevelType w:val="hybridMultilevel"/>
    <w:tmpl w:val="01CEA860"/>
    <w:lvl w:ilvl="0" w:tplc="E49839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3F6"/>
    <w:rsid w:val="00095C07"/>
    <w:rsid w:val="001B0A90"/>
    <w:rsid w:val="002241ED"/>
    <w:rsid w:val="003201ED"/>
    <w:rsid w:val="003909C7"/>
    <w:rsid w:val="00443435"/>
    <w:rsid w:val="004E4D0C"/>
    <w:rsid w:val="00573D75"/>
    <w:rsid w:val="005C67B2"/>
    <w:rsid w:val="005D23F6"/>
    <w:rsid w:val="006679FD"/>
    <w:rsid w:val="007E1A56"/>
    <w:rsid w:val="007F0FEE"/>
    <w:rsid w:val="00811220"/>
    <w:rsid w:val="00992F09"/>
    <w:rsid w:val="00A86CBB"/>
    <w:rsid w:val="00B30E19"/>
    <w:rsid w:val="00B7172C"/>
    <w:rsid w:val="00CF30A7"/>
    <w:rsid w:val="00CF4B34"/>
    <w:rsid w:val="00DA6915"/>
    <w:rsid w:val="00DB4F1B"/>
    <w:rsid w:val="00DB722B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9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79FD"/>
    <w:rPr>
      <w:color w:val="1717D0"/>
      <w:u w:val="single"/>
    </w:rPr>
  </w:style>
  <w:style w:type="paragraph" w:customStyle="1" w:styleId="found">
    <w:name w:val="found"/>
    <w:basedOn w:val="a"/>
    <w:rsid w:val="00DA6915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economy.nayka.com.ua/?op=1&amp;z=38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publications.ntu.edu.ua/visnyk/52/145_15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009-19" TargetMode="External"/><Relationship Id="rId20" Type="http://schemas.openxmlformats.org/officeDocument/2006/relationships/hyperlink" Target="http://dspace.wunu.edu.ua/bitstream/316497/19241/1/%D0%9F%D0%BE%D1%81%D1%96%D0%B1.%2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232/94-%D0%B2%D1%80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investplan.com.ua/pdf/10_2017/1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zakon.rada.gov.ua/cgi-bin/laws/main.cgi?nreg=279-2011-%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13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Office 2</dc:creator>
  <cp:keywords/>
  <dc:description/>
  <cp:lastModifiedBy>1</cp:lastModifiedBy>
  <cp:revision>19</cp:revision>
  <dcterms:created xsi:type="dcterms:W3CDTF">2023-03-11T13:47:00Z</dcterms:created>
  <dcterms:modified xsi:type="dcterms:W3CDTF">2023-03-13T12:02:00Z</dcterms:modified>
</cp:coreProperties>
</file>