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Содержание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"diagnostika/analizyi/obshhij-analiz-krovi" \l "h1" </w:instrTex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Roboto" w:hAnsi="Roboto" w:eastAsia="Roboto" w:cs="Roboto"/>
          <w:b/>
          <w:i w:val="0"/>
          <w:caps w:val="0"/>
          <w:color w:val="205AA7"/>
          <w:spacing w:val="0"/>
          <w:sz w:val="27"/>
          <w:szCs w:val="27"/>
          <w:u w:val="none"/>
          <w:bdr w:val="none" w:color="auto" w:sz="0" w:space="0"/>
          <w:vertAlign w:val="baseline"/>
        </w:rPr>
        <w:t>Показания к назначению общего анализа крови</w: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"diagnostika/analizyi/obshhij-analiz-krovi" \l "h2" </w:instrTex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Roboto" w:hAnsi="Roboto" w:eastAsia="Roboto" w:cs="Roboto"/>
          <w:b/>
          <w:i w:val="0"/>
          <w:caps w:val="0"/>
          <w:color w:val="205AA7"/>
          <w:spacing w:val="0"/>
          <w:sz w:val="27"/>
          <w:szCs w:val="27"/>
          <w:u w:val="none"/>
          <w:bdr w:val="none" w:color="auto" w:sz="0" w:space="0"/>
          <w:vertAlign w:val="baseline"/>
        </w:rPr>
        <w:t>Показатели клинического анализа крови</w: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"diagnostika/analizyi/obshhij-analiz-krovi" \l "h3" </w:instrTex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Roboto" w:hAnsi="Roboto" w:eastAsia="Roboto" w:cs="Roboto"/>
          <w:b/>
          <w:i w:val="0"/>
          <w:caps w:val="0"/>
          <w:color w:val="205AA7"/>
          <w:spacing w:val="0"/>
          <w:sz w:val="27"/>
          <w:szCs w:val="27"/>
          <w:u w:val="none"/>
          <w:bdr w:val="none" w:color="auto" w:sz="0" w:space="0"/>
          <w:vertAlign w:val="baseline"/>
        </w:rPr>
        <w:t>Подготовка к сдаче общего анализа крови</w: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"diagnostika/analizyi/obshhij-analiz-krovi" \l "h4" </w:instrTex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Roboto" w:hAnsi="Roboto" w:eastAsia="Roboto" w:cs="Roboto"/>
          <w:b/>
          <w:i w:val="0"/>
          <w:caps w:val="0"/>
          <w:color w:val="205AA7"/>
          <w:spacing w:val="0"/>
          <w:sz w:val="27"/>
          <w:szCs w:val="27"/>
          <w:u w:val="none"/>
          <w:bdr w:val="none" w:color="auto" w:sz="0" w:space="0"/>
          <w:vertAlign w:val="baseline"/>
        </w:rPr>
        <w:t>Что может повлиять на результаты общего анализа крови</w: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"diagnostika/analizyi/obshhij-analiz-krovi" \l "h5" </w:instrTex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Roboto" w:hAnsi="Roboto" w:eastAsia="Roboto" w:cs="Roboto"/>
          <w:b/>
          <w:i w:val="0"/>
          <w:caps w:val="0"/>
          <w:color w:val="205AA7"/>
          <w:spacing w:val="0"/>
          <w:sz w:val="27"/>
          <w:szCs w:val="27"/>
          <w:u w:val="none"/>
          <w:bdr w:val="none" w:color="auto" w:sz="0" w:space="0"/>
          <w:vertAlign w:val="baseline"/>
        </w:rPr>
        <w:t>Нормы показателей общего анализа крови</w: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"diagnostika/analizyi/obshhij-klinicheskij-analiz-krovi" \t "_blank" </w:instrTex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t>Общий (клинический) анализ крови</w:t>
      </w: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 </w:t>
      </w: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- это распространенный метод исследования клеток крови и один из самых доступных в клинической практике. Когда вы приходите к врачу с жалобами на плохое состояние здоровья, то он обязательно назначит анализ крови. Используя его, быстро проводят общую оценку состояния здоровья пациента. По изменениям в анализе врачи делают выводы о направлении развития болезни и решают, какую тактику обследования выбрать.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vertAlign w:val="baseline"/>
        </w:rPr>
        <w:t>Показания к назначению анализа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При помощи анализа крови и обнаружении в нем изменений предполагают, что в организме имеется какая-либо патология. Иногда по анализу можно найти патологию на ранней стадии, когда основных симптомов еще нет.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При наличии клинических проявлений болезни исследование помогает выяснить природу, а также интенсивность воспаления. Анализ используют для выявления воспалительных патологий, аллергий, болезней крови. Повторное исследование дает возможность врачу оценить эффективность терапии.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vertAlign w:val="baseline"/>
        </w:rPr>
        <w:t>Основные показатели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Проведение этого лабораторного исследования предназначено для количественного и качественного определения всех классов форменных элементов и других показателей.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Гемоглобин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Гемоглобин – основная часть красной клетки крови, которая относится к белкам. Он связывает молекулы углекислоты и кислорода. Белок доставляет молекулы кислорода из легочной ткани ко всем органам, а углекислоту – снова в легкие. В гемоглобине содержится железо, которое придает красный оттенок этим кровяным тельцам.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Уровень гемоглобина – важный показатель. Когда он снижается, в ткани поступает меньше кислорода, который нужен каждой клетке. Нормальные показатели гемоглобина составляют: у женщин – 120-140 г/л, у мужчин - 130-160 г/л. У новорожденных число эритроцитов значительно превышает их количество у взрослых в первые дни после рождения, оно постепенно снижается.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Если показатели ниже нормы, диагностирует анемию. Снижение свидетельствует о задержке в организме или повышении потребления жидкости человеком. Гемоглобин выше нормального уровня наблюдают из-за сгущения при обезвоживании. Повышение – типичный признак эритремии. Это болезнь крови, при которой врабатывается много эритроцитов.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 w:firstLine="0"/>
        <w:jc w:val="left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single"/>
          <w:bdr w:val="none" w:color="auto" w:sz="0" w:space="0"/>
        </w:rPr>
        <w:drawing>
          <wp:inline distT="0" distB="0" distL="114300" distR="114300">
            <wp:extent cx="5067300" cy="3333750"/>
            <wp:effectExtent l="0" t="0" r="0" b="0"/>
            <wp:docPr id="1" name="Рисунок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Эритроциты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Эритроциты – кровяные тельца красного цвета. Внешне они выглядят как двояковогнутый диск, что существенно увеличивает поверхность. Их размер возможен от 7 до 10 мкм. У них отсутствует ядро и органеллы. Эти клетки участвуют в процессе газообмена. Они транспортируют кислород к органам и тканям из легочных альвеол. Эритроциты переносят углекислый газ от тканей в легкие.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Они принимают участие ещё в водном и солевом обмене и регулируют кислотность плазмы. В норме у мужчин – 4-5*1012 г/л, а у женщин – 3,9-4,7*1012 г/л. Снижение эритроцитов наблюдают при анемиях, кровотечении, гипергидратации. Превышение количества клеток говорит об обезвоживании, эритремии, опухолях. Это встречается при наличии кисты почки, а также водянке почечных лоханок.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 w:firstLine="0"/>
        <w:jc w:val="left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4448175" cy="3333750"/>
            <wp:effectExtent l="0" t="0" r="1905" b="0"/>
            <wp:docPr id="2" name="Рисунок 2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Лейкоциты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Лейкоциты – тельца белого цвета, которые выполняют защитную функцию и входят иммунную систему. В норме их количество находится в интервале 4-9*109/литр. Повышение числа белых клеток свидетельствует об иммунном ответе. Это бывает при бактериальных инфекциях, воспалениях, аллергиях.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Соотношение всех видов лейкоцитов – нейтрофилов, эозинофилов базофилов, лимфоцитов и моноцитов в анализе называют лейкоцитарной формулой. Они могут повышаться при недавнем кровотечении, стрессе, опухолевом процессе и других патологиях.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Пониженный уровень в анализе говорит об угнетении иммунной системы. Такие результаты могут наблюдаться при вирусных инфекциях, тяжелом токсикозе, сепсисе, патологии кроветворной системы, аутоиммунных процессах, лучевой болезни.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 w:firstLine="0"/>
        <w:jc w:val="left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single"/>
          <w:bdr w:val="none" w:color="auto" w:sz="0" w:space="0"/>
        </w:rPr>
        <w:drawing>
          <wp:inline distT="0" distB="0" distL="114300" distR="114300">
            <wp:extent cx="4448175" cy="3333750"/>
            <wp:effectExtent l="0" t="0" r="1905" b="0"/>
            <wp:docPr id="3" name="Рисунок 3" descr="IMG_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IMG_25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Тромбоциты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Тромбоциты участвуют в процессе свертываемости. Они принимают участие в иммунной реакции в ответ на проникновение инфекционных агентов. Их норма в анализе составляет: 180-320*109 на литр. Пониженный уровень говорит о воспалительном процессе или аутоиммунном заболевании. Повышение характерно после значимых кровопотерь, при онкологических патологиях и атрофии селезенки.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 w:firstLine="0"/>
        <w:jc w:val="left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205AA7"/>
          <w:spacing w:val="0"/>
          <w:sz w:val="24"/>
          <w:szCs w:val="24"/>
          <w:u w:val="single"/>
          <w:bdr w:val="none" w:color="auto" w:sz="0" w:space="0"/>
        </w:rPr>
        <w:drawing>
          <wp:inline distT="0" distB="0" distL="114300" distR="114300">
            <wp:extent cx="5553075" cy="3333750"/>
            <wp:effectExtent l="0" t="0" r="1905" b="0"/>
            <wp:docPr id="4" name="Рисунок 4" descr="IMG_2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MG_25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Цветовой показатель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Цветовой показатель - это соотношение уровня гемоглобина к числу эритроцитов. В норме он близок к единице. Его изменение наблюдают при анемиях. Значения ниже нормальных выявляют при железодефицитной анемии. А если он выше нормы, то можно заподозрить другие виды анемий.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Ретикулоциты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Ретикулоциты – это юные эритроциты, которые еще не созрели. Они в небольшом количестве всегда присутствуют в крови. От 2 до 10 ретикулоцитов на тысячу эритроцитов. Когда их больше в анализе, это говорит о потребности у организма в увеличении числа красных кровяных телец – разрушении или кровопотере. Пониженный уровень возникает при анемии, онкологических патологиях, лучевом поражении и части заболеваний почек.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Нейтрофилы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Нейтрофилы связывают возбудитель инфекции в тканях. При формировании воспаления клетки двигаются в его очаг направлении. Их количество возрастает. Нейтрофилы вырабатывает костный мозг, там проходит их созревание. Ядро зрелого нейтрофила разделено на сегменты. В норме незрелые формы в крови отсутствуют.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Число сегментоядерных частиц составляет 47-72% от общего числа белых телец, а палочкоядерных форм не более 1-6%. При напряженной работе иммунной системы количество палочкоядерных клеток возрастает.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Это явление называют палочкоядерным сдвигом. Увеличение числа нейтрофилов в анализе говорит о бактериальной инфекции, идущем воспалении. Еще это возможно при стрессе, интоксикации, раке.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Эозинофилы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Эозинофилы инактивируют иммунные комплексы. Они возникают при проникновении в организм аллергенов. В норме они составляют 1-5% от всего числа белых клеток. Возрастание в анализе говорит об аллергической реакции или паразитарной инфекции.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Базофилы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Базофилы ответственны за ограничение разрушительного воздействия на ткани токсинов и ядов. Они не позволяют им распространиться с током крови. Их в норме анализа содержится 0-1% от общего количества лейкоцитов.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Лимфоциты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Лимфоциты представляют специфический иммунитет. С их помощью организм инактивирует вирусы. В норме уровень этих клеток составляет 19-37% от всего числа лейкоцитов. У детей их доля больше. По мере взросления детей снижение продолжается. В возрасте до 15 лет у них уровень лимфоцитов выше, чем у взрослых.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Повышение числа указывает на заболевание вирусной инфекцией. Его отмечают еще при токсоплазмозе, сифилисе, туберкулезе. Понижение уровня лимфоцитов считают признаком угнетения функции иммунной системы.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Моноциты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Моноциты присутствуют в крови около тридцати часов. Затем они уходят кровяное русло и мигрируют в ткани, где становятся макрофагами. Они уничтожают бактерии и погибшие клетки организма. Затем очищают место для регенерации молодой здоровой ткани.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Норма моноцитов составляет 3-11% от всего числа лейкоцитов. Повышение уровня их выявляют при вялотекущих и длительных заболеваниях. Его находят при саркоидозе, туберкулезе, сифилисе. Большое количество этих клеток в крови считают основным признаком мононуклеоза.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СОЭ (скорость оседания эритроцитов)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Когда пробирку с кровью оставляют на некоторое время, эритроциты оседают на дно. Ее содержимое делится на две фракции: темная часть снизу (эритроциты), а также светлая - вверху (плазма). СОЭ измеряют в мм/час. В норме она составляет: у мужчин - 2-10 мм/час, а у женщин - 2-15 мм/час.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У детей, беременных, а также пожилых нормальные значения будут другими. Скорость возрастает, если эритроциты при оседании начинают быстрее склеиваться друг с другом. Этот показатель зависит от множества факторов.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Самой частой причиной считают воспалительный процесс. Повышенное СОЭ бывает при болезнях печени, процессах, отмирания тканей (инфаркт, инсульт, опухоли и другие болезни), патологиях крови, эндокринных и аутоиммунных нарушениях.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</w:rPr>
      </w:pPr>
      <w:r>
        <w:drawing>
          <wp:inline distT="0" distB="0" distL="114300" distR="114300">
            <wp:extent cx="369570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vertAlign w:val="baseline"/>
        </w:rPr>
        <w:t>Подготовка к сдаче общего анализа крови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Забирают кровь для анализа натощак. Последний прием пищи должен перед анализом быть не позднее 8 часов. Накануне исключают стресс, физическое перенапряжение, перепады температур. Не стоит принимать жирную, сладкую, острую пищу. Анализ стоит делать до проведения физиотерапии и до приема лекарств. В экстренных случаях анализ крови производят без предварительной подготовки.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vertAlign w:val="baseline"/>
        </w:rPr>
        <w:t>Что может повлиять на результаты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Если пациент не соблюдает правила подготовки, возможно искажение результатов. Предшествующий анализу стресс вызывает повышение лейкоцитов. К этому же эффекту приводит прием глюкокортикоидов. Обезвоживание организма взывает сгущению крови, возрастает количества клеточных элементов. Прием жирной пищи ведет к повышению уровня лейкоцитов.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vertAlign w:val="baseline"/>
        </w:rPr>
        <w:t>Нормы результатов общего анализа крови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0" w:lineRule="atLeast"/>
        <w:ind w:left="0" w:right="0" w:firstLine="0"/>
        <w:textAlignment w:val="baseline"/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Нормы зависят от возраста и пола. Сравнение полученных данных с нормальными величинами помогает врачу заподозрить определенные заболевания, провести углубленную диагностику и назначить правильное лечение.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Гемоглобин</w:t>
      </w:r>
    </w:p>
    <w:tbl>
      <w:tblPr>
        <w:tblW w:w="5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870"/>
        <w:gridCol w:w="1870"/>
      </w:tblGrid>
      <w:tr>
        <w:tblPrEx>
          <w:tblLayout w:type="fixed"/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205AA7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widowControl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Возраст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205AA7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widowControl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205AA7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widowControl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Уровень гемоглобина, г/дл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до двух недель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13,4–19,8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две недели – месяц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10,7–17,1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1– 2 месяца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9,4–13,0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4– 6 месяцев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11,1–14,1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9 – 12 месяцев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11,3–14,1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 год – 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11,0–14,0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5 – 10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11,5–14,5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10 – 12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12,0–15,0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12 – 15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12,0–16,0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11,6–15,0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15–18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11,7–16,6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11,7–15,4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18 – 45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3,80–5,10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4,30–5,70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45 – 65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3,80–5,30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4,20–5,60</w:t>
            </w:r>
          </w:p>
        </w:tc>
      </w:tr>
    </w:tbl>
    <w:p>
      <w:pPr>
        <w:widowControl/>
        <w:jc w:val="left"/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textAlignment w:val="baseline"/>
        <w:rPr>
          <w:rFonts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default" w:ascii="Roboto" w:hAnsi="Roboto" w:eastAsia="Roboto" w:cs="Roboto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  <w:vertAlign w:val="baseline"/>
        </w:rPr>
        <w:t>Эритроциты</w:t>
      </w:r>
    </w:p>
    <w:tbl>
      <w:tblPr>
        <w:tblW w:w="5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870"/>
        <w:gridCol w:w="1870"/>
      </w:tblGrid>
      <w:tr>
        <w:tblPrEx>
          <w:tblLayout w:type="fixed"/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205AA7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widowControl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Возраст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205AA7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widowControl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205AA7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widowControl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Roboto" w:hAnsi="Roboto" w:eastAsia="Roboto" w:cs="Roboto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Эритроциты, млн/мкл (х106/мкл)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до двух недель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3,90–5,90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две недели – месяц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3,30–5,30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1– 2 месяца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3,50–5,10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4– 6 месяцев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3,90–5,50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9 – 12 месяцев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4,00–5,30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 год – 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4,10–5,30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5 – 10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3,70–4,90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10 – 12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М/Ж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3,80–4,90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12 – 15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3,80–5,00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4,10–5,20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15–18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3,90–5,10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4,20–5,60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18 – 45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3,80–5,10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4,30–5,70</w:t>
            </w:r>
          </w:p>
        </w:tc>
      </w:tr>
      <w:tr>
        <w:tblPrEx>
          <w:tblLayout w:type="fixed"/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45 – 65 лет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М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3,80–5,10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00" w:lineRule="atLeast"/>
              <w:ind w:left="0" w:right="0"/>
              <w:textAlignment w:val="baseline"/>
            </w:pPr>
            <w:r>
              <w:rPr>
                <w:rFonts w:hint="default" w:ascii="Roboto" w:hAnsi="Roboto" w:eastAsia="Roboto" w:cs="Roboto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4,30–5,70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A9CCF"/>
    <w:multiLevelType w:val="multilevel"/>
    <w:tmpl w:val="644A9C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0bf8d66fbb563c4773dc2eb2a3707124" TargetMode="External"/><Relationship Id="rId8" Type="http://schemas.openxmlformats.org/officeDocument/2006/relationships/image" Target="media/image2.jpeg"/><Relationship Id="rId7" Type="http://schemas.openxmlformats.org/officeDocument/2006/relationships/hyperlink" Target="assets/images/articles/2742/ehritrocity.jpg" TargetMode="External"/><Relationship Id="rId6" Type="http://schemas.openxmlformats.org/officeDocument/2006/relationships/image" Target="523d8789d56659d3aba87624976155a5" TargetMode="External"/><Relationship Id="rId5" Type="http://schemas.openxmlformats.org/officeDocument/2006/relationships/image" Target="media/image1.jpeg"/><Relationship Id="rId4" Type="http://schemas.openxmlformats.org/officeDocument/2006/relationships/hyperlink" Target="assets/images/articles/2742/formula-gemoglobina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4fd74a881befd2234ab0f4dc02ecb912" TargetMode="External"/><Relationship Id="rId14" Type="http://schemas.openxmlformats.org/officeDocument/2006/relationships/image" Target="media/image4.jpeg"/><Relationship Id="rId13" Type="http://schemas.openxmlformats.org/officeDocument/2006/relationships/hyperlink" Target="assets/images/articles/2742/trombocity.jpg" TargetMode="External"/><Relationship Id="rId12" Type="http://schemas.openxmlformats.org/officeDocument/2006/relationships/image" Target="b2e9d584d39bee7eb69144420a418588" TargetMode="External"/><Relationship Id="rId11" Type="http://schemas.openxmlformats.org/officeDocument/2006/relationships/image" Target="media/image3.jpeg"/><Relationship Id="rId10" Type="http://schemas.openxmlformats.org/officeDocument/2006/relationships/hyperlink" Target="assets/images/articles/2742/lejkocity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2023-04-27T19:03:07Z</dcterms:created>
  <dc:creator>iPhone</dc:creator>
  <cp:lastModifiedBy>iPhone</cp:lastModifiedBy>
  <dcterms:modified xsi:type="dcterms:W3CDTF">2023-04-27T19:09:27Z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2052-11.33.3</vt:lpwstr>
  </property>
  <property fmtid="{D5CDD505-2E9C-101B-9397-08002B2CF9AE}" pid="3" name="ICV">
    <vt:lpwstr>9B6484348067A883BB9C4A644C618BC1_31</vt:lpwstr>
  </property>
</Properties>
</file>