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FD" w:rsidRPr="00392DFD" w:rsidRDefault="00392DFD" w:rsidP="00392DFD">
      <w:pPr>
        <w:jc w:val="center"/>
        <w:rPr>
          <w:b/>
        </w:rPr>
      </w:pPr>
      <w:r w:rsidRPr="00392DFD">
        <w:rPr>
          <w:b/>
        </w:rPr>
        <w:t>ДИСТАНЦІЙНИЙ СЕМІНАР.</w:t>
      </w:r>
    </w:p>
    <w:p w:rsidR="00C13DE7" w:rsidRDefault="00392DFD" w:rsidP="00392DFD">
      <w:pPr>
        <w:jc w:val="center"/>
        <w:rPr>
          <w:b/>
        </w:rPr>
      </w:pPr>
      <w:r w:rsidRPr="00392DFD">
        <w:rPr>
          <w:b/>
        </w:rPr>
        <w:t>НАЦІОНАЛЬНО-ВИЗВОЛЬНА ВІЙНА ПІД ПРОВОДОМ Б. ХМЕЛЬНИЦЬКОГО</w:t>
      </w:r>
    </w:p>
    <w:p w:rsidR="00392DFD" w:rsidRDefault="00392DFD" w:rsidP="00392DFD">
      <w:pPr>
        <w:jc w:val="center"/>
        <w:rPr>
          <w:i/>
        </w:rPr>
      </w:pPr>
      <w:r w:rsidRPr="00392DFD">
        <w:rPr>
          <w:i/>
        </w:rPr>
        <w:t xml:space="preserve">На відмінно </w:t>
      </w:r>
    </w:p>
    <w:p w:rsidR="00392DFD" w:rsidRPr="00392DFD" w:rsidRDefault="00392DFD" w:rsidP="00392DFD">
      <w:pPr>
        <w:rPr>
          <w:i/>
        </w:rPr>
      </w:pPr>
      <w:r>
        <w:rPr>
          <w:i/>
        </w:rPr>
        <w:t>2)</w:t>
      </w:r>
      <w:r w:rsidRPr="00392DFD">
        <w:t xml:space="preserve"> </w:t>
      </w:r>
      <w:r w:rsidRPr="00392DFD">
        <w:rPr>
          <w:i/>
        </w:rPr>
        <w:t xml:space="preserve">Гетьман - військово-політичний титул глави українського козацького війська (значення визначалося в різні періоди історії України). 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Земський собор - відкритий універсальний з’їзд представників земської (селянської) верхівки в Речі Посполитій у XV-XVIII століттях. Збирався за царської держави, щоб обговорювати і приймати рішення з питань державного життя.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Протекторат - політичний режим, коли один державний суб'єкт надає підтримку і захист іншому державному суб'єкту, але при цьому останній зберігає свою формальну незалежність та владу. Наприклад, у XVII ст..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Переяславська рада - з'їзд представників козацької старшини, який відбувся в 1654 році в Переяславі. На раді було вирішено перейти під захист Московського царства від Польщі та Литви.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Березневі статті Б. Хмельницького - наказ гетьмана Б. Хмельницького до козацької старшини в Березні 1657 року, яким він визначив права та обов'язки козаків, а також встановив податки та військову повинність.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Білоцерківський договір - угода між гетьманом Іваном Мазепою та шведським королем Карлом XII, укладена в 1709 році у місті Біла Церква. Договір передбачав співробітництво між Україною та Швецією в ході Великої Північної війни, а також надання шведської допомоги українським козакам у боротьбі проти Польщі та Росії.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Зборівський договір - угода між гетьманом Іваном Мазепою та російським царем Петром I, укладена в 1702 році у місті Зборів. Договір передбачав політичну та військову співпрацю між Україною та Росією.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Реєстрове козацтво - форма козацького устрою, яка передбачала реєстрацію козаків та обмеження їх військової повинності. Реєстрація передбачала внесення козаків до списку, що зберігався в уряді, і обмеження їх військової повинності до певної кількості днів на рік.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 xml:space="preserve">Генеральна старшина - вища козацька верхівка, складалась з генеральних полковників, </w:t>
      </w:r>
      <w:proofErr w:type="spellStart"/>
      <w:r w:rsidRPr="00392DFD">
        <w:rPr>
          <w:i/>
        </w:rPr>
        <w:t>полковників</w:t>
      </w:r>
      <w:proofErr w:type="spellEnd"/>
      <w:r w:rsidRPr="00392DFD">
        <w:rPr>
          <w:i/>
        </w:rPr>
        <w:t xml:space="preserve"> та їх помічників. Вона обиралась козацькими радами та очолювала козацьке військо.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Апеляція - це скарга на рішення суду до вищої судової інстанції з метою перегляду рішення та вирішення питань права.</w:t>
      </w:r>
    </w:p>
    <w:p w:rsidR="00392DFD" w:rsidRPr="00392DFD" w:rsidRDefault="00392DFD" w:rsidP="00392DFD">
      <w:pPr>
        <w:rPr>
          <w:i/>
        </w:rPr>
      </w:pPr>
      <w:r w:rsidRPr="00392DFD">
        <w:rPr>
          <w:i/>
        </w:rPr>
        <w:t>Звичаєве право - це правова система, що базується на загальноприйнятих звичаях та традиціях в певній культурній спільноті, а не на писаних законах.</w:t>
      </w:r>
    </w:p>
    <w:p w:rsidR="00392DFD" w:rsidRDefault="00392DFD" w:rsidP="00392DFD">
      <w:pPr>
        <w:rPr>
          <w:i/>
        </w:rPr>
      </w:pPr>
      <w:r w:rsidRPr="00392DFD">
        <w:rPr>
          <w:i/>
        </w:rPr>
        <w:t xml:space="preserve">Клейноди - символічні предмети, що використовувалися для офіційного представлення влади. В Україні це були корони, </w:t>
      </w:r>
      <w:proofErr w:type="spellStart"/>
      <w:r w:rsidRPr="00392DFD">
        <w:rPr>
          <w:i/>
        </w:rPr>
        <w:t>скипетри</w:t>
      </w:r>
      <w:proofErr w:type="spellEnd"/>
      <w:r w:rsidRPr="00392DFD">
        <w:rPr>
          <w:i/>
        </w:rPr>
        <w:t xml:space="preserve"> та інші прикраси, які використовували гетьмани та інші урядовці</w:t>
      </w:r>
    </w:p>
    <w:p w:rsidR="00392DFD" w:rsidRDefault="00392DFD" w:rsidP="00392DFD">
      <w:pPr>
        <w:rPr>
          <w:i/>
        </w:rPr>
      </w:pPr>
      <w:r w:rsidRPr="00392DFD">
        <w:rPr>
          <w:i/>
        </w:rPr>
        <w:lastRenderedPageBreak/>
        <w:t>Січ — адміністративний та військо</w:t>
      </w:r>
      <w:r>
        <w:rPr>
          <w:i/>
        </w:rPr>
        <w:t>вий центр запорозького козацтва</w:t>
      </w:r>
    </w:p>
    <w:p w:rsidR="00392DFD" w:rsidRDefault="00392DFD" w:rsidP="00392DFD">
      <w:pPr>
        <w:rPr>
          <w:i/>
        </w:rPr>
      </w:pPr>
      <w:r>
        <w:rPr>
          <w:i/>
        </w:rPr>
        <w:t>3)</w:t>
      </w:r>
    </w:p>
    <w:p w:rsidR="00A820F1" w:rsidRPr="00A820F1" w:rsidRDefault="00A820F1" w:rsidP="00A820F1">
      <w:pPr>
        <w:rPr>
          <w:i/>
        </w:rPr>
      </w:pPr>
      <w:r>
        <w:rPr>
          <w:i/>
        </w:rPr>
        <w:t xml:space="preserve">1 </w:t>
      </w:r>
      <w:r w:rsidRPr="00A820F1">
        <w:rPr>
          <w:i/>
        </w:rPr>
        <w:t>Це твердження є помилковим. Національно-визвольний рух українського народу був спрямований на боротьбу за політичну та культурну незалежність України від інших держав і націй, а не проти Контрреформації.</w:t>
      </w:r>
    </w:p>
    <w:p w:rsidR="00A820F1" w:rsidRPr="00A820F1" w:rsidRDefault="00A820F1" w:rsidP="00A820F1">
      <w:pPr>
        <w:rPr>
          <w:i/>
        </w:rPr>
      </w:pPr>
      <w:r w:rsidRPr="00A820F1">
        <w:rPr>
          <w:i/>
        </w:rPr>
        <w:t>Контрреформація - це рух у католицькій церкві у 16-17 століттях, спрямований на боротьбу з протестантизмом та відродженням католицької віри. Хоча Контрреформація відображала суперництво між різними релігійними течіями, вона не була безпосередньо пов'язана з боротьбою за національну самобутність України.</w:t>
      </w:r>
    </w:p>
    <w:p w:rsidR="00A820F1" w:rsidRDefault="00A820F1" w:rsidP="00A820F1">
      <w:pPr>
        <w:rPr>
          <w:i/>
        </w:rPr>
      </w:pPr>
      <w:r w:rsidRPr="00A820F1">
        <w:rPr>
          <w:i/>
        </w:rPr>
        <w:t>Український національно-визвольний рух з'явився на початку 20 століття, коли Україна була під владою Російської імперії. Його метою було досягнення політичної та культурної незалежності України, а також відновлення національної свідомості. У період між Першою та Другою світовими війнами, український національно-визвольний рух був активним і складався з різних організацій і партій, таких як Українська Народна Республіка, Українська Повстанська Армія, Організація Українських Націоналістів т</w:t>
      </w:r>
      <w:r>
        <w:rPr>
          <w:i/>
        </w:rPr>
        <w:t>а інших.</w:t>
      </w:r>
    </w:p>
    <w:p w:rsidR="00A820F1" w:rsidRDefault="00A820F1" w:rsidP="00A820F1">
      <w:pPr>
        <w:rPr>
          <w:i/>
        </w:rPr>
      </w:pPr>
      <w:r w:rsidRPr="00A820F1">
        <w:rPr>
          <w:i/>
        </w:rPr>
        <w:t>Отже, національно-визвольний рух українського народу не можна пов'язувати з боротьбою проти Контрреформації, оскільки вони мають різні історичні контексти та мети</w:t>
      </w:r>
    </w:p>
    <w:p w:rsidR="00A820F1" w:rsidRPr="00A820F1" w:rsidRDefault="00A820F1" w:rsidP="00A820F1">
      <w:pPr>
        <w:rPr>
          <w:i/>
        </w:rPr>
      </w:pPr>
      <w:r>
        <w:rPr>
          <w:i/>
        </w:rPr>
        <w:t xml:space="preserve">2 </w:t>
      </w:r>
      <w:r w:rsidRPr="00A820F1">
        <w:rPr>
          <w:i/>
        </w:rPr>
        <w:t>Перша половина XVII століття в Україні, як і в багатьох інших країнах Європи, є періодом розвитку культури та мистецтва, який часто називають "українським Ренесансом". Цей період характеризується значними досягненнями у літературі, мистецтві, архітектурі, філософії та інших сферах культури.</w:t>
      </w:r>
    </w:p>
    <w:p w:rsidR="00A820F1" w:rsidRPr="00A820F1" w:rsidRDefault="00A820F1" w:rsidP="00A820F1">
      <w:pPr>
        <w:rPr>
          <w:i/>
        </w:rPr>
      </w:pPr>
      <w:r w:rsidRPr="00A820F1">
        <w:rPr>
          <w:i/>
        </w:rPr>
        <w:t>Однією з основних причин успіху українського Ренесансу була активна роль козацтва у розвитку культури. Козацькі загони не тільки брали участь у війнах та політичних подіях, але й підтримували та сприяли розвитку літератури та мистецтва. Козацькі гетьмани були відомими меценатами та підтримували талановитих митців та літераторів, таких як Іван Вишенський, Іван Пулюй та інші.</w:t>
      </w:r>
    </w:p>
    <w:p w:rsidR="00A820F1" w:rsidRPr="00A820F1" w:rsidRDefault="00A820F1" w:rsidP="00A820F1">
      <w:pPr>
        <w:rPr>
          <w:i/>
        </w:rPr>
      </w:pPr>
      <w:r w:rsidRPr="00A820F1">
        <w:rPr>
          <w:i/>
        </w:rPr>
        <w:t>У цей період виникли також видатні літературні школи, зокрема Києво-Могилянська академія, яка стала центром української культури та освіти. У академії з'явилися перші українські друковані книги, які допомогли поширити освіту та культуру в Україні та за її межами.</w:t>
      </w:r>
    </w:p>
    <w:p w:rsidR="00A820F1" w:rsidRDefault="00A820F1" w:rsidP="00A820F1">
      <w:pPr>
        <w:rPr>
          <w:i/>
        </w:rPr>
      </w:pPr>
      <w:r w:rsidRPr="00A820F1">
        <w:rPr>
          <w:i/>
        </w:rPr>
        <w:t>Також важливою складовою успіху українського Ренесансу була активна участь українських митців та літераторів у європейському культурному житті. Багато з них навчалися та працювали в європейських університетах та культурних центрах, а потім поверталися до України, де працювали над розвитком власної культури та мистецтва.</w:t>
      </w:r>
    </w:p>
    <w:p w:rsidR="00A820F1" w:rsidRPr="00A820F1" w:rsidRDefault="00A820F1" w:rsidP="00A820F1">
      <w:pPr>
        <w:rPr>
          <w:i/>
        </w:rPr>
      </w:pPr>
      <w:r>
        <w:rPr>
          <w:i/>
        </w:rPr>
        <w:t xml:space="preserve">4 </w:t>
      </w:r>
      <w:r w:rsidRPr="00A820F1">
        <w:rPr>
          <w:i/>
        </w:rPr>
        <w:t>Зовнішня політика Гетьманщини у 1654-1657 роках була складною та амбівалентною. У цей період Богдан Хмельницький намагався знайти баланс між інтересами різних держав та зберегти незалежність українського народу.</w:t>
      </w:r>
    </w:p>
    <w:p w:rsidR="00A820F1" w:rsidRPr="00A820F1" w:rsidRDefault="00A820F1" w:rsidP="00A820F1">
      <w:pPr>
        <w:rPr>
          <w:i/>
        </w:rPr>
      </w:pPr>
      <w:r w:rsidRPr="00A820F1">
        <w:rPr>
          <w:i/>
        </w:rPr>
        <w:t>З одного боку, Гетьманщина була залучена до війни з Польщею, що вимагало знаходження союзників серед інших держав. З цією метою Богдан Хмельницький звернувся до Московської держави з проханням про допомогу в боротьбі проти польських військ. Проте, після того, як Москва стала намагатися підкорити Гетьманщину, Богдан Хмельницький звернувся до інших</w:t>
      </w:r>
      <w:r>
        <w:rPr>
          <w:i/>
        </w:rPr>
        <w:t xml:space="preserve"> </w:t>
      </w:r>
      <w:r w:rsidRPr="00A820F1">
        <w:rPr>
          <w:i/>
        </w:rPr>
        <w:lastRenderedPageBreak/>
        <w:t>держав, в тому числі до Османської імперії та Швеції, з проханням про допомогу в боротьбі проти Москви.</w:t>
      </w:r>
    </w:p>
    <w:p w:rsidR="00A820F1" w:rsidRPr="00A820F1" w:rsidRDefault="00A820F1" w:rsidP="00A820F1">
      <w:pPr>
        <w:rPr>
          <w:i/>
        </w:rPr>
      </w:pPr>
      <w:r w:rsidRPr="00A820F1">
        <w:rPr>
          <w:i/>
        </w:rPr>
        <w:t>З іншого боку, Богдан Хмельницький намагався зберегти добрі відносини з Польщею, оскільки Україна була залежна від неї економічно та культурно. Тому Гетьманщина укладала договори з Польщею, спрямовані на збереження миру та стабільності на кордоні.</w:t>
      </w:r>
    </w:p>
    <w:p w:rsidR="00A820F1" w:rsidRPr="00392DFD" w:rsidRDefault="00A820F1" w:rsidP="00A820F1">
      <w:pPr>
        <w:rPr>
          <w:i/>
        </w:rPr>
      </w:pPr>
      <w:bookmarkStart w:id="0" w:name="_GoBack"/>
      <w:bookmarkEnd w:id="0"/>
      <w:r w:rsidRPr="00A820F1">
        <w:rPr>
          <w:i/>
        </w:rPr>
        <w:t>Таким чином, зовнішня політика Гетьманщини у 1654-1657 роках була компромісною та залежала від ситуації. Оцінка англійської газети, що Богдан Хмельницький намагався звільнитися від своїх обіцянок Москві, може бути однією з інтерпретацій, але не відображає всієї складності та амбівалентності зовнішньої політики Гетьманщини в той час</w:t>
      </w:r>
    </w:p>
    <w:sectPr w:rsidR="00A820F1" w:rsidRPr="00392DFD" w:rsidSect="004138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D"/>
    <w:rsid w:val="00392DFD"/>
    <w:rsid w:val="004138B3"/>
    <w:rsid w:val="008F3EFD"/>
    <w:rsid w:val="00A820F1"/>
    <w:rsid w:val="00C1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3956</Words>
  <Characters>2256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2023-03-26T16:14:00Z</dcterms:created>
  <dcterms:modified xsi:type="dcterms:W3CDTF">2023-03-26T16:32:00Z</dcterms:modified>
</cp:coreProperties>
</file>