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81" w:rsidRPr="00016A81" w:rsidRDefault="00016A81" w:rsidP="00016A81">
      <w:pPr>
        <w:rPr>
          <w:rFonts w:ascii="Calibri" w:hAnsi="Calibri"/>
          <w:b/>
          <w:sz w:val="36"/>
          <w:szCs w:val="36"/>
          <w:lang w:val="en-US"/>
        </w:rPr>
      </w:pPr>
      <w:proofErr w:type="spellStart"/>
      <w:r w:rsidRPr="00016A81">
        <w:rPr>
          <w:rFonts w:ascii="Calibri" w:hAnsi="Calibri"/>
          <w:b/>
          <w:sz w:val="36"/>
          <w:szCs w:val="36"/>
          <w:lang w:val="en-US"/>
        </w:rPr>
        <w:t>Sportbank</w:t>
      </w:r>
      <w:proofErr w:type="spellEnd"/>
      <w:r w:rsidRPr="00016A81">
        <w:rPr>
          <w:rFonts w:ascii="Calibri" w:hAnsi="Calibri"/>
          <w:b/>
          <w:sz w:val="36"/>
          <w:szCs w:val="36"/>
          <w:lang w:val="en-US"/>
        </w:rPr>
        <w:t xml:space="preserve">: bank </w:t>
      </w:r>
      <w:proofErr w:type="spellStart"/>
      <w:r w:rsidRPr="00016A81">
        <w:rPr>
          <w:rFonts w:ascii="Calibri" w:hAnsi="Calibri"/>
          <w:b/>
          <w:sz w:val="36"/>
          <w:szCs w:val="36"/>
          <w:lang w:val="en-US"/>
        </w:rPr>
        <w:t>internetowy</w:t>
      </w:r>
      <w:proofErr w:type="spellEnd"/>
    </w:p>
    <w:p w:rsidR="00DE745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to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nowoczesny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ukraiński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"bank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mobilny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",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który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wspólnym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projektem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firmy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IT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Dyvotech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pierwszego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wyspecjalizowanego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funduszu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fintech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N1. Bank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wydaje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podstawie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licencji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TASCOMBANK JSC.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to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neobank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który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upraszcza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zarządzanie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finansami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osobistymi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Charakterystyka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Wartość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Limit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Do 100 000 UAH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Okres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karencji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62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dni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>Cashback 0</w:t>
      </w:r>
      <w:proofErr w:type="gramStart"/>
      <w:r w:rsidRPr="00016A81">
        <w:rPr>
          <w:rFonts w:ascii="Calibri" w:hAnsi="Calibri"/>
          <w:sz w:val="28"/>
          <w:szCs w:val="28"/>
          <w:lang w:val="en-US"/>
        </w:rPr>
        <w:t>,7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%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wybranych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kategoriach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kosztem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środków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własnych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;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gramStart"/>
      <w:r w:rsidRPr="00016A81">
        <w:rPr>
          <w:rFonts w:ascii="Calibri" w:hAnsi="Calibri"/>
          <w:sz w:val="28"/>
          <w:szCs w:val="28"/>
          <w:lang w:val="en-US"/>
        </w:rPr>
        <w:t>1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%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wybranych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kategoriach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kosztem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środków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Zwiększony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cashback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3 do 20%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od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partnerów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Wypłaty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gotówkowe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do 10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tysięcy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-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bezpłatnie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,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po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przekroczeniu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10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tys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,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środki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- 4,9%.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Oprocentowanie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depozytu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"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Plecak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"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wynosi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10%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rocznie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UAH;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>0</w:t>
      </w:r>
      <w:proofErr w:type="gramStart"/>
      <w:r w:rsidRPr="00016A81">
        <w:rPr>
          <w:rFonts w:ascii="Calibri" w:hAnsi="Calibri"/>
          <w:sz w:val="28"/>
          <w:szCs w:val="28"/>
          <w:lang w:val="en-US"/>
        </w:rPr>
        <w:t>,01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%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dolarach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>0</w:t>
      </w:r>
      <w:proofErr w:type="gramStart"/>
      <w:r w:rsidRPr="00016A81">
        <w:rPr>
          <w:rFonts w:ascii="Calibri" w:hAnsi="Calibri"/>
          <w:sz w:val="28"/>
          <w:szCs w:val="28"/>
          <w:lang w:val="en-US"/>
        </w:rPr>
        <w:t>,01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>% w euro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Oprocentowanie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pożyczki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6</w:t>
      </w:r>
      <w:proofErr w:type="gramStart"/>
      <w:r w:rsidRPr="00016A81">
        <w:rPr>
          <w:rFonts w:ascii="Calibri" w:hAnsi="Calibri"/>
          <w:sz w:val="28"/>
          <w:szCs w:val="28"/>
          <w:lang w:val="en-US"/>
        </w:rPr>
        <w:t>,6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%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miesięcznie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bookmarkStart w:id="0" w:name="_GoBack"/>
      <w:bookmarkEnd w:id="0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Bank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łączy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sobie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klasyczne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usługi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bankowe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oprogramowanie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-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aplikację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mobilną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iOS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lub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Androida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Aby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zostać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klientem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należy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zainstalować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aplikację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smartfonie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zarejestrować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przejść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weryfikację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online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zeskanować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dokumenty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lub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skorzystać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Diia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Projekt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sportbanlk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został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uruchomiony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2019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roku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wyniku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współpracy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dwóch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firm IT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Dyvotech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wyspecjalizowanego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funduszu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fintech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komercyjnego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banku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OKCI.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Projekt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został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opracowany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uruchomiony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Denisa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Saprykina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Nikitę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Izmailova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Bank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mobilny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pozycjonuje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rynku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jako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bank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dla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aktywnych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ludzi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którzy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kochają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nowoczesne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technologie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lastRenderedPageBreak/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bankiem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więc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posiada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oddziałów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choć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korzysta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zasobów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TASKOMBANK JSC do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przechowywania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środków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rachunkach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przeprowadzania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operacji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bankowych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Liczba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aktywnych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kart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płatniczych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przekroczyła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już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500 000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rośnie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każdego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dnia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Karty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debetowe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Visa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są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wydawane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Tascombank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Każdego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miesiąca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klient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może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wybrać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3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kategorie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otrzymać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zwrot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gotówki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zakupy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punktach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sprzedaży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detalicznej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kategoriach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Kto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właścicielem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Współzałożyciele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- Nikita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Izmailov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Denis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Saprykin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Oleg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Vlasenko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Udziałowcy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- N1, City 24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TAS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CEO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neobanku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- Mikhail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Strizhko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wydaje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podstawie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licencji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wydanej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TASCOMBANK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działa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obszarze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regulacyjnym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NBU. TASCOMBANK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wydaje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obsługuje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oparte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systemie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płatności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Visa.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Dyvotech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zajmuje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rozwojem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technicznym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produktu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oprogramowania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odpowiada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marketing,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projektowanie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aplikacji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wsparcie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operacyjne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wszystkich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procesów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Karta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"sport"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Karta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należy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do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międzynarodowego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systemu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płatniczego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VISA,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wydawana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chipem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obsługuje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technologię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płatności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zbliżeniowych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NFS.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Karta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posiada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program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polecający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- 55 UAH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każdą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nową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rejestrację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Każdy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nowy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użytkownik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który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zainstaluje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aplikację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mobilną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otrzymuje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link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partnerski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może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zaprosić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znajomych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wysyłając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link do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rejestracji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Lista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usług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finansowych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Lista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usług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finansowych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dość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obszerna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Następujące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usługi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są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dostępne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dla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użytkowników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2023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roku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: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lastRenderedPageBreak/>
        <w:t>Ubezpieczenie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Prosty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plan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ratalny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Płatności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ratalne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Przelewy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płatności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Cashback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promocje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>Apple Pay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>Google Pay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>Garmin Pay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Depozyt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BOOOSTER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Konto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oszczędnościowe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"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Plecak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"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Karta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karta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sport white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gramStart"/>
      <w:r w:rsidRPr="00016A81">
        <w:rPr>
          <w:rFonts w:ascii="Calibri" w:hAnsi="Calibri"/>
          <w:sz w:val="28"/>
          <w:szCs w:val="28"/>
          <w:lang w:val="en-US"/>
        </w:rPr>
        <w:t>sport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white EUR/USD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isSupport</w:t>
      </w:r>
      <w:proofErr w:type="spellEnd"/>
      <w:proofErr w:type="gram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Karta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"sport" -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taryfy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Wskaźnik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Wartość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Wydanie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Bezpłatnie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Maksymalny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limit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100000 UAH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Oprocentowanie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(APR) 57</w:t>
      </w:r>
      <w:proofErr w:type="gramStart"/>
      <w:r w:rsidRPr="00016A81">
        <w:rPr>
          <w:rFonts w:ascii="Calibri" w:hAnsi="Calibri"/>
          <w:sz w:val="28"/>
          <w:szCs w:val="28"/>
          <w:lang w:val="en-US"/>
        </w:rPr>
        <w:t>,6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>%.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Minimalna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płatność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7%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Opłata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doładowanie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0%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Prowizja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wypłatę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środków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własnych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Do 10000 UAH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miesięcznie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pobierana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następnie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2%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Prowizja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wypłatę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gotówki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4</w:t>
      </w:r>
      <w:proofErr w:type="gramStart"/>
      <w:r w:rsidRPr="00016A81">
        <w:rPr>
          <w:rFonts w:ascii="Calibri" w:hAnsi="Calibri"/>
          <w:sz w:val="28"/>
          <w:szCs w:val="28"/>
          <w:lang w:val="en-US"/>
        </w:rPr>
        <w:t>,9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>%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Jak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uzyskać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?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Jeśli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potrzebujesz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"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sportowej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",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możesz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złożyć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wniosek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pośrednictwem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naszego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linku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Kliknij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powyższy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link, a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zostaniesz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przekierowany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stronę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umożliwiającą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pobranie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aplikacji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mobilnej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Aby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proces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rejestracji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przebiegł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szybko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należy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przygotować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następujące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dokumenty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: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Paszport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lub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dowód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osobisty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Kod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podatkowy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(NIP)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Zaświadczenie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rejestracji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(w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przypadku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dowodu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osobistego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)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Możesz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również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przejść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weryfikację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pośrednictwem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Diia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która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bardzo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szybka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musisz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wysyłać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dokumentów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do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weryfikacji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wszystkie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dokumenty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zostaną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pobrane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Diia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(pod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warunkiem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że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tam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są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>).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Zalety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wady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sportbanku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Zalety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: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pełni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zdalna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usługa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Doładowanie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telefonu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komórkowego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bez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opłat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Zwrot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gotówki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do 10%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Wsparcie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dla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Google Pay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Apple Pay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Możliwość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zamówienia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granicą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Możliwość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zarabiania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dzięki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programowi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poleceń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Wady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: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Dostawa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Ukrainę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ciągu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5-7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dni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Limit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przyznawany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natychmiast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(w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większości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przypadków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)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Zamknięcie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konta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wniosek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klienta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dopiero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45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dniach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Opinie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r w:rsidRPr="00016A81">
        <w:rPr>
          <w:rFonts w:ascii="Calibri" w:hAnsi="Calibri"/>
          <w:sz w:val="28"/>
          <w:szCs w:val="28"/>
          <w:lang w:val="en-US"/>
        </w:rPr>
        <w:t xml:space="preserve">Aby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przetestować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zainstalowaliśmy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aplikację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zamówiliśmy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wirtualną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Jeśli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posiadasz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Twoja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opinia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pomoże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innym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użytkownikom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Prosimy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więc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podzielenie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swoimi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doświadczeniami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komentarzach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To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naprawdę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cenne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!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Interfejs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platformy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Pierwsze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co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rzuca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oczy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to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nowoczesny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interfejs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aplikacji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mobilnej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Wszystko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intuicyjne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a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bankowość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internetowa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działa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bez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zarzutu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Funkcjonalność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pozwala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: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zorganizowanie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wspólnej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zbiórki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pieniędzy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doładowanie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telefonu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komórkowego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dokonanie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płatności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pomocą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danych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IBAN,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opłacenie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mediów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mandatów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drogowych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wysłanie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pieniędzy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cele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charytatywne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dokonanie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płatności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pomocą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kodu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QR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oraz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otrzymanie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płatności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Funduszu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Gwarancji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Depozytów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Warunki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udzielania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pożyczek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Prawie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wszyscy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nowi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użytkownicy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otrzymują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minimalny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limit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ale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jeśli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potrzebujesz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większej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kwoty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możesz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ubiegać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zwiększenie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limitu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Zadłużenie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innych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bankach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brane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pod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uwagę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obliczaniu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limitu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kredytowego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Odsetki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opłaty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Oprocentowanie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zaczyna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działać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zakończeniu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okresu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karencji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czyli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62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dniach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Jest ono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stosunkowo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wysokie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- 4</w:t>
      </w:r>
      <w:proofErr w:type="gramStart"/>
      <w:r w:rsidRPr="00016A81">
        <w:rPr>
          <w:rFonts w:ascii="Calibri" w:hAnsi="Calibri"/>
          <w:sz w:val="28"/>
          <w:szCs w:val="28"/>
          <w:lang w:val="en-US"/>
        </w:rPr>
        <w:t>,8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%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miesięcznie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Podobną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opłatę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trzeba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będzie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ponieść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wypłatę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lub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przelew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środków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- 4</w:t>
      </w:r>
      <w:proofErr w:type="gramStart"/>
      <w:r w:rsidRPr="00016A81">
        <w:rPr>
          <w:rFonts w:ascii="Calibri" w:hAnsi="Calibri"/>
          <w:sz w:val="28"/>
          <w:szCs w:val="28"/>
          <w:lang w:val="en-US"/>
        </w:rPr>
        <w:t>,9</w:t>
      </w:r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%.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Korzystanie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opłacalne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jeśli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opuścimy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grace period.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Obsługa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wsparcie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Obsługa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klienta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jest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dostępna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online,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całą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dobę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siedem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dni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tygodniu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Możesz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skontaktować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zespołem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wsparcia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przez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telefon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lub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komunikatory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Odpowiadają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szybko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mogą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zdalnie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rozwiązać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każdy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problem.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Skontaktowaliśmy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lastRenderedPageBreak/>
        <w:t>się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z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zespołem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wsparcia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trybie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testowym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choć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ciągu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miesiąca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pojawiły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się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żadne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problemy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techniczne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Nasze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wnioski</w:t>
      </w:r>
      <w:proofErr w:type="spellEnd"/>
    </w:p>
    <w:p w:rsidR="00016A81" w:rsidRPr="00016A81" w:rsidRDefault="00016A81" w:rsidP="00016A81">
      <w:pPr>
        <w:rPr>
          <w:rFonts w:ascii="Calibri" w:hAnsi="Calibri"/>
          <w:sz w:val="28"/>
          <w:szCs w:val="28"/>
          <w:lang w:val="en-US"/>
        </w:rPr>
      </w:pPr>
      <w:proofErr w:type="spellStart"/>
      <w:r w:rsidRPr="00016A81">
        <w:rPr>
          <w:rFonts w:ascii="Calibri" w:hAnsi="Calibri"/>
          <w:sz w:val="28"/>
          <w:szCs w:val="28"/>
          <w:lang w:val="en-US"/>
        </w:rPr>
        <w:t>Sportbank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to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obiecująca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usługa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którą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docenią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młodzi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ludzie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. To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pełnoprawny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bank w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telefonie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wygodna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karta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wiele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korzyści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- limit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kredytowy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proofErr w:type="gram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karcie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na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raty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, cashback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oferty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partnerów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16A81">
        <w:rPr>
          <w:rFonts w:ascii="Calibri" w:hAnsi="Calibri"/>
          <w:sz w:val="28"/>
          <w:szCs w:val="28"/>
          <w:lang w:val="en-US"/>
        </w:rPr>
        <w:t>banku</w:t>
      </w:r>
      <w:proofErr w:type="spellEnd"/>
      <w:r w:rsidRPr="00016A81">
        <w:rPr>
          <w:rFonts w:ascii="Calibri" w:hAnsi="Calibri"/>
          <w:sz w:val="28"/>
          <w:szCs w:val="28"/>
          <w:lang w:val="en-US"/>
        </w:rPr>
        <w:t>.</w:t>
      </w:r>
    </w:p>
    <w:sectPr w:rsidR="00016A81" w:rsidRPr="0001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8F"/>
    <w:rsid w:val="00016A81"/>
    <w:rsid w:val="005404F9"/>
    <w:rsid w:val="00BA3A8F"/>
    <w:rsid w:val="00D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D1279-F1B0-481B-AC4E-D520AF1D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2023-06-23T10:17:00Z</dcterms:created>
  <dcterms:modified xsi:type="dcterms:W3CDTF">2023-06-23T10:30:00Z</dcterms:modified>
</cp:coreProperties>
</file>