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-317499</wp:posOffset>
                </wp:positionV>
                <wp:extent cx="6458050" cy="98584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0"/>
                          <a:ext cx="638175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3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-317499</wp:posOffset>
                </wp:positionV>
                <wp:extent cx="6458050" cy="98584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8050" cy="985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90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БИЗНЕС-ПЛАН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134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Центр комплексной автоматизации и светодиодного освещения.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13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75"/>
        </w:tabs>
        <w:spacing w:after="200" w:before="0" w:line="276" w:lineRule="auto"/>
        <w:ind w:left="0" w:right="0" w:firstLine="113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Иванов Иван Иванович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Общество с ограниченной ответственностью ООО 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тел.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Стоимость проекта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руб.,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Дата составления: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Структура бизнес- плана: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Резюме проекта…………………………………………………………………… 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Продукты и услуги …..…………………………………………….…………….. 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Анализ рынка……………...........................…………………….……..…………. 8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План маркетинга……………………………………………………….……….... 10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План продаж …................……………………………………….………….. …....11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Организационный план………………………………………………..…..…….. 11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Финансовый план……………………………………………………...…..…….. 12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Анализ рисков………………………………….………………………......…….  12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1.Резюме проекта.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- одна из самых компетентных калининградских компаний, работающая в сфере комплексной автоматизации зданий, оптовых и розничных продаж светодиодной продукции, а также в сфере проектирования и монтажа систем светодиодного освещения. Учредитель и руководитель компании —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Рынок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оценкам экспертов  в 2012 году рынок светодиодной продукции в России вырос на 70%  в денежном выражении. Рост рынка автоматизации зданий за последние два года эксперты оценивают в 30% ежегодно. Компания  работает  как на рынке Калининградской области, так и на рынках  регионов России.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Продукты и услуги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Планируется  выделить три основных направления деятельности ООО «</w:t>
      </w:r>
      <w:r w:rsidDel="00000000" w:rsidR="00000000" w:rsidRPr="00000000">
        <w:rPr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Проектирование и монтаж систем комплексной автоматизации зданий на калининградском рынке.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Оптовая  и розничная торговля светодиодной продукцией, в том числе через сети DIY в Калининградской области и России; через региональных дилеров в России.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Сервисное обслуживание систем светодиодного освещения и автоматизации зданий на калининградском рынке.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Инвестиции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проекта необходимы инвестиции в размере 50 000 000 руб., которые предполагается получить от частного инвестора. Возврат инвестиций планируется осуществлять за счет прибыли от деятельности. Прибыль будет распределяться в соотношении _______- учредитель компании,  ______ - инвестор.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статьи расходов, на которые необходимо направить вышеуказанные инвестиции: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закупка товаров для торговли;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приобретение грузового автомобиля;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маркетинг.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Стать лидером во всех указанных направлениях деятельности в калининградской области;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стать одним из лидеров в поставке светодиодной продукции на российском рынке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стать центром компетенций в области внедрения передовых энергоэффективных технологий, средств автоматизации на общероссийском уровне.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окупаемости — 18,5 месяцев с начала реализации проекта.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Рентабельность инвестиций –  246 %.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Продукты и услуги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пожалуй, наиболее компетентная организация в Калининградской области в вопросах проектирования и монтажа систем комплексной автоматизации зданий.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работает на рынке светодиодной продукции и систем автоматизации зданий около 3 лет. Компания реализовала множество проектов по монтажу освещения и систем автоматизации, поставке оборудования, является  представителем в России следующих компаний - производителей: Klus - алюминиевый профиль для светодиодных лент (Польша), Skoff — светодиодные светильники (Польша), Polux — светодиодные лампы, светильники (Польша), Swarovski — светодиодные светильники (Австрия), OMS — системы профессионального освещения (Словакия), Side – светодиодные светильники премиум класса (Италия). Продукция указанных производителей поставляется как на калининградский рынок, так и в другие регионы России. Компания имеет представителей в Москве, Спб, Нижнем Новгороде, Екатеринбурге. Компания имеет розничный магазин — салон светодиодной продукции в Калининграде.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автоматизации зданий, мы сотрудничаем с одним из мировых лидеров в производстве оборудования стандарта KNX — австрийской компанией Loxone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www.loxone.com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Выбор стандарта KNX обусловлен тем, что это наиболее передовой, универсальный и надежный открытый стандарт управления.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преимущества интеллектуального здания: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снижение рисков, связанных с потерей функциональности и работоспособности инженерной инфраструктуры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комфортных условий с учетом индивидуальных требований собственников и арендаторов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снижение совокупных затрат на строительство и эксплуатацию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высокой стоимости недвижимости, либо арендной платы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эффективности управления и контроля над состоянием инженерных систем объекта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2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энергосбережение </w:t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EIB/KNX представляет собой интеллектуальную систему автоматизации и управления инженерным оборудованием, которая отвечает требованиям европейских стандартов и применяется для создания комфорта и энергосбережения в коммерческих зданиях, промышленных объектах, жилье. Открытый протокол EIB позволяет создать гибкую систему управления, которая позволяет осуществлять модернизацию и расширение функций без значительных дополнительных инвестиций в инженерную инфраструктуру интеллектуального здания. Благодаря технологии EIB/KNX возможно реализовать все необходимые функции по управлению комфортом и микроклиматом с учетом индивидуальных пожеланий клиентов.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 EIB - это датчики и исполнительные устройства со встроенным интеллектом, объединенные двухпроводным кабелем, которые осуществляют программируемое управление систем жизнеобеспечения без применения компьютера. Такая система допускает внешнее управление, а в его отсутствие работает автономно.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Программное обеспечение позволяет легко и быстро создавать Web-страницы. Удобная и понятная визуализация системы обеспечивается стандартными средствами HTML с использованием графики, звукового сопровождения и анимации, что облегчает получение реальной картины состояния объекта.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Удаленное управление через сеть интернет в реальном времени обеспечивает возможность мониторинга объектов и управления ими, независимо от его размеров (квартира, дом, коттеджный поселок, группа промышленных объектов и т.д.). </w:t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Преимущества для потребителя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Быстрая и простая замена и добавление компонентов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Снижение рисков аварий в инженерных системах, возгорания и поражения электрическим током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Увеличиваются возможности использования различного оборудования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Высокое качество и современный дизайн электроустановочных изделий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Энергосбережение (до 30 % экономии электроэнергии)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2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Простота эксплуатации системы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 эффективности энергосбережения возможно при оптимизации всех составляющих процесса энергосбережения: архитектурных и конструктивных решений, инженерных систем и информационных сетей; автоматизированных систем контроля, управления и учета энергоресурсов.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подробно преимущества комплексной автоматизации для клиентов описаны в Приложении 4 .</w:t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Коммерческая недвижимость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коммерческой недвижимости относятся здания, предназначенные для размещения офисов, торговых предприятий, а также жилые комплексы, гостиничные объекты и многофункциональные комплексы, к которым предъявляются повышенные требования, например – бизнес-центры классов А и В+, гостиницы 4 и 5 звезд, крупные многофункциональные центры.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Комплексный подход нашей компанией к разработке и реализации инженерных проектов позволяет собственнику снизить затраты на строительство и эксплуатацию зданий, сократить сроки реализации и повысить качество строительства.</w:t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Промышленные объекты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Наша компания обеспечивает комплексную разработку и реализацию проектов инженерной инфраструктуры объектов промышленного назначения. Мы выполняем все виды работ, начиная с этапа выбора инженерных решений и проектирования, заканчивая монтажом и вводом в эксплуатацию инженерных и информационных систем.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промышленным объектам предъявляются более высокие требования, чем к офисным зданиям. При этом инвестиции оправданы, когда средства вкладываются в предприятия, где широко используются новые технологии в целях модернизации производства и совершенствования технологического процесса. Наша компания будет сотрудничать  в области создания инженерной инфраструктуры с крупными компаниями и отраслевыми проектными институтами.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Наша компания будет выполнять полный комплекс работ по проектированию и строительству: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трансформаторных подстанций (6—10/0,4 кВ); дизельных электростанций, включая электротехническую часть (распределительные устройства низкого и высокого напряжения российских и западных производителей) и тепломеханическую часть (вентиляция и пр.)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 и средств безопасности, включая системы пожарной сигнализации и пожаротушения, охранную сигнализацию и видеонаблюдение, контроль и управление доступом и т. д.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 связи и телекоммуникаций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 отопления, вентиляции и кондиционирования, водоснабжения и канализации, тепло- и холодоснабжения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20" w:before="0" w:line="276" w:lineRule="auto"/>
        <w:ind w:left="70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структурированной системы мониторинга и управления инженерными системами объекта (СМИС)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Подробнее о стандарте KNX  и его преимуществах для инвесторов (владельцев зданий) - в Приложении 2.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Свои разработки мы основываем на глубоком понимании потребностей клиента и обширных практических знаниях в области монтажа систем освещения и автоматизации зданий, при этом учитываем мировой опыт.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Услуги, предоставляемые компанией в области автоматизации: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-проектирование систем, включая экономическое обоснование (расчет окупаемости) 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-поставка оборудования  (комплектация объектов);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-монтаж инженерного оборудования и систем автоматизации;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-обслуживание объектов;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автоматизация гостиниц на программном обеспечении Fidelio.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автоматизация  ресторанов на программном обеспечении iiko.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пример работы компании можно привести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 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Объем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 включает проектирование поставку и монтаж следующих элементов: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-все слаботочные сети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-система автоматизированного освещения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-климатическая система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-контроль доступа и учет рабочего времени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-видеотрансляция (реклама на мониторах)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-пожарно-охранная сигнализация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-сборка щитов автоматики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-система электронных заказов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-автоматизация кухни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-сборка серверов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-видеонаблюдение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полная информация об автоматизированных системах управления, проектируемых и монтируемых компанией «</w:t>
      </w:r>
      <w:r w:rsidDel="00000000" w:rsidR="00000000" w:rsidRPr="00000000">
        <w:rPr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и перечень реализуемых функций интеллектуального здания приведены в Приложении 3.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Рассматривая опыт компании в осуществлении проектов по автоматизации зданий, установке освещения, можно сказать, что компания обладает наиболее сильными компетенциями в следующих областях: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проектирование и монтаж систем автоматизации зданий;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проектирование и монтаж светодиодного освещения;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оптовая торговля светодиодной продукцией.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калининградский и общероссийский рынок светодиодной продукции.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 вышесказанное, компания планирует выделить в своей деятельности три направления (помимо существующей розничной торговли в магазине-салоне) с соответствующим обеспечением этих направлений финансированием и кадрами. Цель-   реализация потенциальных возможностей компании,  лучший охват рынка и предоставление более полного объема услуг наиболее широкому спектру клиентов.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Планируется выделить следующие направления деятельности: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Проектирование и монтаж систем автоматизации зданий и бизнеса на калининградском рынке.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Опыт работы компании на калининградском рынке автоматизации зданий говорит о том, что в этой сфере необходимо концентрироваться на крупных проектах, таких как гостиницы классом 4 и 5 звезд, торговые центры премиум класса, рестораны, т. к. эти объекты обеспечивают наибольшую прибыльность.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Оптовая торговля светодиодной продукцией через сети DIY в Калининградской области и России; через региональных дилеров в России.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Компания обладает большим опытом поставок широкого спектра светодиодной продукции на рынки Калининграда и других регионов России, имеет представителей в нескольких регионах, поэтому компания может занять существенную долю российского рынка и стать абсолютным лидером в Калининградской области. Основное условие этого- постоянное наличие товарного запаса, для чего необходимы значительные финансовые ресурсы.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Сервисное обслуживание систем светодиодного освещения и автоматизации зданий на калининградском рынке.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Планируется создание подразделения компании, занимающегося обслуживанием систем освещения и автоматизации крупных объектов: торговые центры, гостиницы, склады,  дороги. Основной задачей здесь будет являться создание профессиональной команды и отлаженной системы функционирования службы сервиса.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рынка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выяснения перспектив реализации настоящего бизнес плана был проведен анализ рынка для каждого запланированного направления деятельности. Получены следующие результаты: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Оптовая торговля светодиодной продукцией через сети DIY в Калининградской области и России; через региональных дилеров в России: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оценкам экспертов  в 2012 году рынок светодиодной продукции в России вырос на 70%  в денежном выражении. Это связано прежде всего с двумя факторами: принятие на государственном уровне стандартов и норм  по внедрению энергоэффективного освещения и  снижение цен производителей на светодиодную продукцию. В 2013 тенденция роста сохранится в связи с полным запретом оборота ламп накаливания и физическим износом действующих светильников старых образцов. Эксперты ожидают рост не только в сегменте светильников для ЖКХ и промышленности, но и для интерьерного освещения.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Рынок DIY в России растет на 20% в год (2011, 2012) увеличивается ассортимент продукции, предлагаемый в супермаркетах данного формата. В настоящий момент компания не поставляет товары в супермаркеты. Вхождение в сети DIY в Калининграде и России является одной из приоритетных задач в рамках данного бизнес плана.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конкурентом компании в этом сегменте на общероссийском рынке является фирма «Транзистор», на рынке Калининграда - фирма «Промсервис».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таблице 1 (Приложение 1) сделано сравнение цен на на наиболее ходовые товары, поставляемые фирмой на рынки России и Калининграда, с ценами  конкурентов.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видно из таблицы 1, цены предлагаемые фирмой полностью конкурентоспособны, т.е. как минимум не выше цен конкурентов на аналогичные товары, а по большинству позиций существенно ниже.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Проектирование и монтаж систем автоматизации зданий и бизнеса на калининградском рынке.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планируемым проведением матчей чемпионата мира по футболу в Калининграде в 2018г планируется построить 15 новых гостиниц, футбольный стадион. В проекте государственной программы развития Калининградской области до 2020 года. предполагается выделение из федерального бюджета 446 млрд рублей в течение 8 лет, начиная с 2013 года. Эти средства будут направлены на модернизацию и строительство объектов инфраструктуры, центров культуры, отдыха.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этим, спрос на услуги по проектированию и монтажу систем автоматизации зданий будет очень высоким.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конкурентом в этом направлении деятельности компании в Калининграде является фирма «Двина». Однако, эта компания не предоставляет такого широкого спектра услуг и товаров как ООО «</w:t>
      </w:r>
      <w:r w:rsidDel="00000000" w:rsidR="00000000" w:rsidRPr="00000000">
        <w:rPr>
          <w:sz w:val="24"/>
          <w:szCs w:val="24"/>
          <w:rtl w:val="0"/>
        </w:rPr>
        <w:t xml:space="preserve">ААА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Сервисное обслуживание систем светодиодного освещения и комплексной автоматизации  на калининградском рынке.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причинам указанным в предыдущем пункте рынок сервисного обслуживания систем освещения и автоматизации зданий в калининградской области будет расти и спрос на данные услуги будет высоким.  Как правило, компания, установившая систему освещения и автоматизации, в дальнейшем занимается и ее обслуживанием. Поэтому при достаточном спросе на услуги компании по пункту 2, по сервисному обслуживанию спрос будет практически гарантирован. 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настоящий момент специализированных сервисных служб по системам автоматизации и освещения в Калининграде нет. Однако, потребность в такой службе созрела. Как одна из составляющих программы аутсорсинга на предприятиях Калининграда, такая служба поможет значительно сэкономить на зарплате и налогах по сравнению с вариантом найма собственных специалистов, а также решить вопрос надежного функционирования всех систем (освещение, отопление, вентиляция и кондиционирования) с помощью всего одной организации за небольшие деньги.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службы сервиса  повышает лояльность клиентов, увеличивает объем продаж, т. к. клиенты уверены, что при покупке оборудования получат необходимый сервис в дальнейшем. Часто условием заключение крупного контракта по автоматизации является наличие сервисной службы.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целом, создание трех подразделений компании с  определенной сферой ответственности для каждого (на базе существующего розничного магазина-салона) позволит: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лучше и оперативней удовлетворять потребности клиентов,;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обеспечит надежность работы: так, например, подразделение оптовых продаж будет обеспечивать постоянное наличие продукции, необходимой остальным подразделениям. Подразделение проектирование и монтажа будет обеспечивать клиентов остальных подразделений техническими консультациями. Сервисная служба будет обеспечивать гарантийное и послегарантийное обслуживание объектов скомплектованных и смонтированных двумя другими подразделениями;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позволит каждому подразделению активно развиваться в своем направлении деятельности, расширять перечень товаров и услуг, осваивать новые рынки.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План маркетинга.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Стратегия маркетинга для компании состоит, как говорилось в предыдущих пунктах,  в    выделении трех направлений деятельности при этом каждое направление работает в своей ценовой нише: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Оптовая торговля- в сегменте «эконом». Это связано со спецификой ценовой политики крупных сетей, а также с тем, что на данный момент розничный клиент не готов покупать светодиодную продукцию «среднего» и «премиум» классов, т. к. эта продукция изначально значительно дороже «традиционного» освещения. Переход в более высокий ценовой диапазон здесь увязан с изменением психологии покупателя в отношении светодиодной продукции.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Проектирование и монтаж — сегменте «премиум». Этот сегмент является наиболее прибыльным (гостиницы, деловые центры, рестораны). Работа в среднем и эконом сегментах (частные дома, школы) сопряжена с низкой прибыльностью и организационными трудностями (задержки оплаты, длительные сроки принятия решений и выполнения смежных работ).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Сервисная служба - «средний» сегмент. В этом сегменте в психологии покупателя   существует баланс между необходимостью экономить на стоимости покупки оборудования и его надежностью (стоимостью его эксплуатации).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продвижения компании на целевых рынках и создания позитивного имиджа необходима модернизация существующих интернет-сайтов компании с интеграцией в них кабинетов клиентов, добавления раздела по сервисному центру, применение нового фирменного стиля, создание каталогов продукции.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продвижения компании планируется  проводить рекламные акции, семинары, распространять листовки, флаеры, использовать личные контакты. Рекламные объявления будут размещаться в специализированных журналах, газетах, справочниках, на транспорте.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салона-магазина позволит иметь фактически постоянно действующий выставочный центр.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Планируется участие в специализированных выставках.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План продаж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Проведя анализ рынка, учитывая все вышеперечисленные показатели и расценки на товары, можно составить план продаж на расчетные 2013-2014 гг., с уч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 сезонности и праздничных дней.  План продаж приведен в Таблице 2 (Приложение 1)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Организационный план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Руководство предприятием осуществляет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- 1 чел.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Бухгалтер - 1 чел. - подготовка бухгалтерской отчетности, кадры,  формы договоров.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Помощник главного бухгалтера  1 чел. — обработка первичной документации.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Технический отдел: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-Технический директор - 1чел. - организация работы технического подразделения в целом. Консультирование ключевых клиентов.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-монтажники — 6 чел. - выполнение работ на объектах.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-IT инженер по IP телефонии 1 чел..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-IT инженер по видеонаблюдению, пожарной охранной сигнализации, системам контроля доступа 1 чел.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-IT инженер по серверам 1 чел.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-IT инженер по системам автоматизации бизнеса 2 чел. (один — проектирование, второй -сервисное обслуживание).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инженер АСУ — 1 чел.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инженер ОВК -1 чел..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инженер энергетик-1 чел. (освещение ИБП, альтернативная энергетика).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руководитель проектов -1 чел.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сервисный инженер -1 чел.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Коммерческий отдел: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-Коммерческий директор- 1 чел. - организация работы отдела, ведение ключевых клиентов.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-маркетолог — 1 чел. - изучение рынка, реклама, организация выставок, семинаров.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-менеджеры по продажам светодиодной продукции — 5чел.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-менеджеры по продажам услуг автоматизации -5 чел.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продавцы в магазине — 2 чел.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логист -1 чел. (закупки, отгрузки, ведение склада)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-Водитель экспедитор — 2 чел; (по городу и экспортные поставки)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-Таможенный брокер -1 чел. (аутсорсинг) -таможенное оформление закупок;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-Уборщица -1 чел. Уборка офиса.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штата сотрудников будет производится постепенно в соответствии с ростом объема продаж и, соответственно, загрузки сотрудников.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подробностей см. Таблицу 3 (Приложение 1).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Финансовый план представлен в Таблице 4 (Приложение 1)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начала реализации проекта необходимо осуществить капитальные вложения в общей сумме 50 000 000 рублей.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Точка безубыточности достигается на    19-ом месяце с начала осуществления проекта.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Рентабельность инвестиций (Отношение чистой операционной прибыли к инвестициям) составляет на расчетном периоде времени 246%  в среднем за год.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Анализ рисков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Риск низкого объема продаж.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поддержания высокого объема продаж по каждому направлению, выделяются очень значительные средства на маркетинг: 400000 руб. при запуске проекта и 250000 руб. в последующие месяцы.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даже при нулевых оптовых продажах товаров (по этому направлению оборот многократно превышает оборот по  остальным направлениям) на всем расчетном периоде, проект имеет практически нулевую рентабельность, т. е. бе</w:t>
      </w:r>
      <w:r w:rsidDel="00000000" w:rsidR="00000000" w:rsidRPr="00000000">
        <w:rPr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убыточен.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Риск отсутствия товаров на складе.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Риск может быть сведен к минимуму частотой поставок. Планируемая частота – 1 раз в 2 недели.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Риск неоплаты товара покупателем.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Данный риск нивелируется за счет наличия трех направлений деятельности с разными сегментами покупателей. </w:t>
      </w:r>
    </w:p>
    <w:sectPr>
      <w:footerReference r:id="rId9" w:type="default"/>
      <w:pgSz w:h="16838" w:w="11906" w:orient="portrait"/>
      <w:pgMar w:bottom="1134" w:top="1134" w:left="1418" w:right="62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🟃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🟃"/>
      <w:lvlJc w:val="left"/>
      <w:pPr>
        <w:ind w:left="1414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🟃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🟃"/>
      <w:lvlJc w:val="left"/>
      <w:pPr>
        <w:ind w:left="2828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🟃"/>
      <w:lvlJc w:val="left"/>
      <w:pPr>
        <w:ind w:left="3535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🟃"/>
      <w:lvlJc w:val="left"/>
      <w:pPr>
        <w:ind w:left="4242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🟃"/>
      <w:lvlJc w:val="left"/>
      <w:pPr>
        <w:ind w:left="4949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🟃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🟃"/>
      <w:lvlJc w:val="left"/>
      <w:pPr>
        <w:ind w:left="636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🟃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🟃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🟃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🟃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🟃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🟃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🟃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🟃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🟃"/>
      <w:lvlJc w:val="left"/>
      <w:pPr>
        <w:ind w:left="1414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🟃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🟃"/>
      <w:lvlJc w:val="left"/>
      <w:pPr>
        <w:ind w:left="2828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🟃"/>
      <w:lvlJc w:val="left"/>
      <w:pPr>
        <w:ind w:left="3535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🟃"/>
      <w:lvlJc w:val="left"/>
      <w:pPr>
        <w:ind w:left="4242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🟃"/>
      <w:lvlJc w:val="left"/>
      <w:pPr>
        <w:ind w:left="4949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🟃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🟃"/>
      <w:lvlJc w:val="left"/>
      <w:pPr>
        <w:ind w:left="636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0" w:before="48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autoSpaceDE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Cambria" w:cs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60" w:before="240" w:line="276" w:lineRule="auto"/>
      <w:ind w:leftChars="-1" w:rightChars="0" w:firstLineChars="-1"/>
      <w:jc w:val="left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60" w:before="240" w:line="276" w:lineRule="auto"/>
      <w:ind w:leftChars="-1" w:rightChars="0" w:firstLineChars="-1"/>
      <w:jc w:val="left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eastAsia="Times New Roman" w:hAnsi="Times New Roman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НазваниеЗнак">
    <w:name w:val="Название Знак"/>
    <w:basedOn w:val="Основнойшрифтабзаца"/>
    <w:next w:val="Название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PEStyleFont4">
    <w:name w:val="PEStyleFont4"/>
    <w:basedOn w:val="Основнойшрифтабзаца"/>
    <w:next w:val="PEStyleFont4"/>
    <w:autoRedefine w:val="0"/>
    <w:hidden w:val="0"/>
    <w:qFormat w:val="0"/>
    <w:rPr>
      <w:rFonts w:ascii="PEW Report" w:hAnsi="PEW Report"/>
      <w:b w:val="1"/>
      <w:i w:val="1"/>
      <w:spacing w:val="0"/>
      <w:w w:val="100"/>
      <w:position w:val="0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2Знак">
    <w:name w:val="Основной текст 2 Знак"/>
    <w:basedOn w:val="Основнойшрифтабзаца"/>
    <w:next w:val="Основнойтекст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ТекстЗнак">
    <w:name w:val="Текст Знак"/>
    <w:basedOn w:val="Основнойшрифтабзаца"/>
    <w:next w:val="ТекстЗнак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EStyleFont8">
    <w:name w:val="PEStyleFont8"/>
    <w:basedOn w:val="Основнойшрифтабзаца"/>
    <w:next w:val="PEStyleFont8"/>
    <w:autoRedefine w:val="0"/>
    <w:hidden w:val="0"/>
    <w:qFormat w:val="0"/>
    <w:rPr>
      <w:rFonts w:ascii="PEW Report" w:hAnsi="PEW Report"/>
      <w:spacing w:val="0"/>
      <w:w w:val="100"/>
      <w:position w:val="0"/>
      <w:sz w:val="16"/>
      <w:u w:val="none"/>
      <w:effect w:val="none"/>
      <w:vertAlign w:val="baseline"/>
      <w:cs w:val="0"/>
      <w:em w:val="none"/>
      <w:lang/>
    </w:rPr>
  </w:style>
  <w:style w:type="character" w:styleId="PEStyleFont6">
    <w:name w:val="PEStyleFont6"/>
    <w:basedOn w:val="Основнойшрифтабзаца"/>
    <w:next w:val="PEStyleFont6"/>
    <w:autoRedefine w:val="0"/>
    <w:hidden w:val="0"/>
    <w:qFormat w:val="0"/>
    <w:rPr>
      <w:rFonts w:ascii="PEW Report" w:hAnsi="PEW Report"/>
      <w:b w:val="1"/>
      <w:spacing w:val="0"/>
      <w:w w:val="100"/>
      <w:position w:val="0"/>
      <w:sz w:val="16"/>
      <w:u w:val="none"/>
      <w:effect w:val="none"/>
      <w:vertAlign w:val="baseline"/>
      <w:cs w:val="0"/>
      <w:em w:val="none"/>
      <w:lang/>
    </w:rPr>
  </w:style>
  <w:style w:type="character" w:styleId="PEStyleFont7">
    <w:name w:val="PEStyleFont7"/>
    <w:basedOn w:val="Основнойшрифтабзаца"/>
    <w:next w:val="PEStyleFont7"/>
    <w:autoRedefine w:val="0"/>
    <w:hidden w:val="0"/>
    <w:qFormat w:val="0"/>
    <w:rPr>
      <w:rFonts w:ascii="PEW Report" w:hAnsi="PEW Report"/>
      <w:b w:val="1"/>
      <w:spacing w:val="0"/>
      <w:w w:val="100"/>
      <w:position w:val="0"/>
      <w:sz w:val="16"/>
      <w:u w:val="none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Основнойтекст3Знак">
    <w:name w:val="Основной текст 3 Знак"/>
    <w:basedOn w:val="Основнойшрифтабзаца"/>
    <w:next w:val="Основнойтекст3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PEStyleFont5">
    <w:name w:val="PEStyleFont5"/>
    <w:basedOn w:val="Основнойшрифтабзаца"/>
    <w:next w:val="PEStyleFont5"/>
    <w:autoRedefine w:val="0"/>
    <w:hidden w:val="0"/>
    <w:qFormat w:val="0"/>
    <w:rPr>
      <w:rFonts w:ascii="PEW Report" w:hAnsi="PEW Report"/>
      <w:b w:val="1"/>
      <w:i w:val="1"/>
      <w:spacing w:val="0"/>
      <w:w w:val="100"/>
      <w:position w:val="0"/>
      <w:sz w:val="28"/>
      <w:u w:val="none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basedOn w:val="Основнойшрифтабзаца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Нумерациястрок">
    <w:name w:val="Нумерация строк"/>
    <w:basedOn w:val="Основнойшрифтабзаца"/>
    <w:next w:val="Нумерациястро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4Знак">
    <w:name w:val="Заголовок 4 Знак"/>
    <w:basedOn w:val="Основнойшрифтабзаца"/>
    <w:next w:val="Заголовок4Знак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basedOn w:val="Основнойшрифтабзац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ОснНатЗнакЗнак">
    <w:name w:val="ОснНат Знак Знак"/>
    <w:basedOn w:val="Основнойшрифтабзаца"/>
    <w:next w:val="ОснНатЗнакЗнак"/>
    <w:autoRedefine w:val="0"/>
    <w:hidden w:val="0"/>
    <w:qFormat w:val="0"/>
    <w:rPr>
      <w:rFonts w:ascii="Times New Roman" w:eastAsia="Times New Roman" w:hAnsi="Times New Roman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character" w:styleId="Заголовок3Знак">
    <w:name w:val="Заголовок 3 Знак"/>
    <w:basedOn w:val="Основнойшрифтабзаца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Calibri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Calibri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Calibri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44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">
    <w:name w:val="Заголовок"/>
    <w:basedOn w:val="Базовый"/>
    <w:next w:val="Подзаголовок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Подзаголовок">
    <w:name w:val="Подзаголовок"/>
    <w:basedOn w:val="Заголовок1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PEStylePara2">
    <w:name w:val="PEStylePara2"/>
    <w:basedOn w:val="Базовый"/>
    <w:next w:val="Базовый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">
    <w:name w:val="Основной текст 2"/>
    <w:basedOn w:val="Базовый"/>
    <w:next w:val="Основнойтекст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">
    <w:name w:val="Текст"/>
    <w:basedOn w:val="Базовый"/>
    <w:next w:val="Текст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">
    <w:name w:val="Основной текст 3"/>
    <w:basedOn w:val="Базовый"/>
    <w:next w:val="Основнойтекст3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Базовый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PEStylePara0">
    <w:name w:val="PEStylePara0"/>
    <w:basedOn w:val="Текст"/>
    <w:next w:val="PEStylePara0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PEStylePara3">
    <w:name w:val="PEStylePara3"/>
    <w:basedOn w:val="PEStylePara0"/>
    <w:next w:val="PEStylePara0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after="120" w:before="1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BodyText2">
    <w:name w:val="Body Text 2"/>
    <w:basedOn w:val="Базовый"/>
    <w:next w:val="BodyText2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after="0" w:before="0" w:line="360" w:lineRule="auto"/>
      <w:ind w:left="0" w:right="0" w:leftChars="-1" w:rightChars="0" w:firstLine="709" w:firstLineChars="-1"/>
      <w:jc w:val="left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xl33">
    <w:name w:val="xl33"/>
    <w:basedOn w:val="Базовый"/>
    <w:next w:val="xl33"/>
    <w:autoRedefine w:val="0"/>
    <w:hidden w:val="0"/>
    <w:qFormat w:val="0"/>
    <w:pPr>
      <w:widowControl w:val="1"/>
      <w:pBdr>
        <w:top w:space="0" w:sz="0" w:val="none"/>
        <w:left w:color="000000" w:space="0" w:sz="8" w:val="single"/>
        <w:bottom w:color="000000" w:space="0" w:sz="4" w:val="single"/>
        <w:right w:space="0" w:sz="0" w:val="none"/>
      </w:pBdr>
      <w:suppressAutoHyphens w:val="0"/>
      <w:overflowPunct w:val="0"/>
      <w:autoSpaceDE w:val="0"/>
      <w:bidi w:val="0"/>
      <w:spacing w:after="100" w:before="100"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 Unicode MS" w:cs="Calibri" w:eastAsia="Arial Unicode MS" w:hAnsi="Arial Unicode MS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xl37">
    <w:name w:val="xl37"/>
    <w:basedOn w:val="Базовый"/>
    <w:next w:val="xl37"/>
    <w:autoRedefine w:val="0"/>
    <w:hidden w:val="0"/>
    <w:qFormat w:val="0"/>
    <w:pPr>
      <w:widowControl w:val="1"/>
      <w:pBdr>
        <w:top w:space="0" w:sz="0" w:val="none"/>
        <w:left w:color="000000" w:space="0" w:sz="8" w:val="single"/>
        <w:bottom w:space="0" w:sz="0" w:val="none"/>
        <w:right w:color="000000" w:space="0" w:sz="4" w:val="single"/>
      </w:pBdr>
      <w:suppressAutoHyphens w:val="0"/>
      <w:overflowPunct w:val="0"/>
      <w:autoSpaceDE w:val="0"/>
      <w:bidi w:val="0"/>
      <w:spacing w:after="100" w:before="100"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Calibri" w:eastAsia="Times New Roman" w:hAnsi="Times New Roman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BodyText3">
    <w:name w:val="Body Text 3"/>
    <w:basedOn w:val="Базовый"/>
    <w:next w:val="BodyText3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Calibri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xl29">
    <w:name w:val="xl29"/>
    <w:basedOn w:val="Базовый"/>
    <w:next w:val="xl29"/>
    <w:autoRedefine w:val="0"/>
    <w:hidden w:val="0"/>
    <w:qFormat w:val="0"/>
    <w:pPr>
      <w:widowControl w:val="1"/>
      <w:pBdr>
        <w:top w:space="0" w:sz="0" w:val="none"/>
        <w:left w:color="000000" w:space="0" w:sz="8" w:val="single"/>
        <w:bottom w:space="0" w:sz="0" w:val="none"/>
        <w:right w:color="000000" w:space="0" w:sz="4" w:val="single"/>
      </w:pBdr>
      <w:suppressAutoHyphens w:val="0"/>
      <w:overflowPunct w:val="0"/>
      <w:autoSpaceDE w:val="0"/>
      <w:bidi w:val="0"/>
      <w:spacing w:after="100" w:before="100"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 Unicode MS" w:cs="Calibri" w:eastAsia="Arial Unicode MS" w:hAnsi="Arial Unicode MS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тиль2">
    <w:name w:val="Стиль2"/>
    <w:basedOn w:val="Базовый"/>
    <w:next w:val="Стиль2"/>
    <w:autoRedefine w:val="0"/>
    <w:hidden w:val="0"/>
    <w:qFormat w:val="0"/>
    <w:pPr>
      <w:widowControl w:val="1"/>
      <w:numPr>
        <w:ilvl w:val="0"/>
        <w:numId w:val="2"/>
      </w:numPr>
      <w:tabs>
        <w:tab w:val="left" w:leader="none" w:pos="1080"/>
      </w:tabs>
      <w:suppressAutoHyphens w:val="0"/>
      <w:bidi w:val="0"/>
      <w:spacing w:after="0" w:before="0" w:line="360" w:lineRule="auto"/>
      <w:ind w:left="1080" w:right="0" w:leftChars="-1" w:rightChars="0" w:hanging="513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content">
    <w:name w:val="content"/>
    <w:basedOn w:val="Базовый"/>
    <w:next w:val="content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art">
    <w:name w:val="art"/>
    <w:basedOn w:val="Базовый"/>
    <w:next w:val="art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НатЗнак">
    <w:name w:val="ОснНат Знак"/>
    <w:next w:val="Базовый"/>
    <w:autoRedefine w:val="0"/>
    <w:hidden w:val="0"/>
    <w:qFormat w:val="0"/>
    <w:pPr>
      <w:widowControl w:val="1"/>
      <w:suppressAutoHyphens w:val="0"/>
      <w:spacing w:line="360" w:lineRule="auto"/>
      <w:ind w:left="0" w:right="0" w:leftChars="-1" w:rightChars="0" w:firstLine="567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loxon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EkbzIZav3AB7KuyWWovlONkuHg==">CgMxLjA4AHIhMUNsRXBPRkpXNkllSm9JSVJWOU1vTmVGdTdPUlhOR0Nu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2010-09-29T16:32:00Z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