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9A28405" w:rsidP="39A28405" w:rsidRDefault="39A28405" w14:paraId="2394CF95" w14:textId="1E815F01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>Биологическое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>психологическое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>значение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40"/>
          <w:szCs w:val="40"/>
          <w:lang w:val="uk-UA"/>
        </w:rPr>
        <w:t xml:space="preserve"> эмоций</w:t>
      </w:r>
      <w:r>
        <w:drawing>
          <wp:inline wp14:editId="73CA3CA6" wp14:anchorId="5A93869F">
            <wp:extent cx="4991100" cy="3647716"/>
            <wp:effectExtent l="0" t="0" r="0" b="0"/>
            <wp:docPr id="1635640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fdc8306c9048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4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A28405" w:rsidP="39A28405" w:rsidRDefault="39A28405" w14:paraId="17B0A661" w14:textId="2CC239D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называем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переживания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сопровождаемые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приятного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неприятного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удовольствия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неудовольствия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также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разнообразными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оттенками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сочетаниями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Удовольствие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неудовольствие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простейшие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сложные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варианты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представлены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такими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радость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печаль,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грусть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страх,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гнев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BB2EB79" w14:textId="157F15CA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Неожиданно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оказавшись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вблизи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пропасти,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испытываем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страха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влиянием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опасения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отходим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безопасную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зону. Сама по себе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ситуация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еще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причинила нам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вреда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но через наше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отразилась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угрожающая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нашему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самосохранению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Сигнализируя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непосредственном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положительном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отрицательном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значении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явлений,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рефлекторно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регулируют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наше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побуждают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тормозят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наши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3557A354" w14:textId="22ED6A57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генерализованная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реакция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значимые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(от лат. «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emoveo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»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волную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).</w:t>
      </w:r>
    </w:p>
    <w:p w:rsidR="39A28405" w:rsidP="39A28405" w:rsidRDefault="39A28405" w14:paraId="2923C0D4" w14:textId="0F783BF9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регулируют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психическую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активность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специфично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а через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соответствующие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психические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состояния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влияя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протекание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психических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процессов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16870846" w14:textId="30584D22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Особенностью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является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интегрированность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возникая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соответствующих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эмоциогенных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воздействиях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захватывают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весь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объединяют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все его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функции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соответствующий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генерализованный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стереотипный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поведенческий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акт.</w:t>
      </w:r>
    </w:p>
    <w:p w:rsidR="39A28405" w:rsidP="39A28405" w:rsidRDefault="39A28405" w14:paraId="4CE4057B" w14:textId="16D1ECDA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приспособительным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продуктом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эволюции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эволюционно-обобщенные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способы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типичных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ситуациях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519DF895" w14:textId="562BE0D3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Именно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благодаря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оказывается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чрезвычайно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выгодно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приспособленным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окружающим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условиям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поскольку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он,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даже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определяя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форму, тип,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механизм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другие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параметры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может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спасительной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быстротой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отреагировать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определенным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состоянием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сведя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его, так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сказать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общему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биологическому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знаменателю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определить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полезно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вредно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для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данное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конкретное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27CF5204" w14:textId="62217546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возникают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ответ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ключевые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для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удовлетворения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определенной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особенности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предметов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Отдельные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биологически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значимые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свойства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предметов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ситуаций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вызывают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эмоциональный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тон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ощущений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сигнализируют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встрече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искомым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опасным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свойством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предметов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субъективное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отношение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предметам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явлениям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возникающее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результате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отражения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непосредственной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актуализированными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11D66BEB" w14:textId="0E405C24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Все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предметно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соотнесены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двухвалентны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положительные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отрицательные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(потому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предметы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либо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удовлетворяют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либо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удовлетворяют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соответствующие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).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побуждают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стереотипным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формам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Однако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особенности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человеческих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законом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психического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развития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высшие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образования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высшие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психические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функции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формируясь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низших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функций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перестраивают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Эмоционально-оценочная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деятельность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неразрывно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связана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его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понятийно-оценочной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сферой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сфера сама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влияет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состояние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A533763" w14:textId="066D11CC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рациональная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регуляция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одной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стороны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побуждается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но,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другой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стороны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противостоит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текущим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Все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волевые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совершаются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вопреки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конкурирующим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действует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превозмогая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жажду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голод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всевозможные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влечения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99BCB70" w14:textId="404ED233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Однако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ниже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уровень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регуляции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тем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большую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свободу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получают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эмоционально-импульсивные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имеют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мотивации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цели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также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формируются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а однозначно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предопределяются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характером самого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например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импульсивное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отстранение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от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падающего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нас предмета).</w:t>
      </w:r>
    </w:p>
    <w:p w:rsidR="39A28405" w:rsidP="39A28405" w:rsidRDefault="39A28405" w14:paraId="5D538EC0" w14:textId="40AA4FDB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доминируют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там,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где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недостаточна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регуляция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: при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дефиците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информации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для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построения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при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недостаточности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фонда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способов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поведения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значит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тем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меньшую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значимость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имеют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Даже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мыслительные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организуются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14861713" w14:textId="69D3257A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обеспечивают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энергетический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потенциал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усиливают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направление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результативность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которого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наиболее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вероятна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Допуская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большую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свободу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сознательного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выбора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целей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определяют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направления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жизнедеятельности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331B3194" w14:textId="19C8C9DD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Положительные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постоянно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сочетаясь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удовлетворением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становятся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настоятельной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потребностью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стремится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положительным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Лишение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дезорганизует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психику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длительное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лишение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положительных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детстве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может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привести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отрицательным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деформациям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388D4B54" w14:textId="40BD0AB3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Замещая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по себе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во многих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случаях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побуждением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фактором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мотивации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76E3933" w14:textId="7151FD51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Различаются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низшие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связанные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безусловно-рефлекторной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деятельностью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основанные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инстинктах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являющиеся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выражением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голода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жажды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страха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эгоизма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т.п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.),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высшие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подлинно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человеческие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-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23F29AD3" w14:textId="65B52017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связаны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удовлетворением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социально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выработанных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потребностей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долга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любви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товарищества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стыда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любознательности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т.п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формируются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по мере его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включения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социальные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по мере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становления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индивидуума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Переживая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оперирует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исторически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выработанными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нравственными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эстетическими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понятиями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(«добро», «зло», «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справедливость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», «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прекрасное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», «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безобразное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»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т.д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.),</w:t>
      </w:r>
    </w:p>
    <w:p w:rsidR="39A28405" w:rsidP="39A28405" w:rsidRDefault="39A28405" w14:paraId="63303279" w14:textId="0B270386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Таким образом,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большей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мере,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связаны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второй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сигнальной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системой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ситуативно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обусловлены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могут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длительными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устойчивыми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Наиболее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устойчивые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являются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свойствами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честность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гуманность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т.п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.).</w:t>
      </w:r>
    </w:p>
    <w:p w:rsidR="39A28405" w:rsidP="39A28405" w:rsidRDefault="39A28405" w14:paraId="576DC3ED" w14:textId="30C74A4F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Факт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тесной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процессами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указывает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природное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происхождение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крайней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мере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самых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простейших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Во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случаях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когда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живого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существа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замирает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частично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полностью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утрачивается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прежде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обнаруживаем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исчезли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внешние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проявления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Участок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кожи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временно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лишенный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кровоснабжения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перестает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чувствительным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физически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становится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апатичным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безразличным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тому,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происходит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вокруг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т. е.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бесчувственным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Он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теряет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способность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откликаться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внешние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воздействия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так,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нормальном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течении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4358B475" w14:textId="65000C10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высших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животных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мозге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структуры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тесно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связанные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эмоциональной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жизнью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так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называемая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лимбическая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система,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которую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входят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скопления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нервных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клеток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расположенные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корой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головного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мозга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непосредственной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близости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его центру,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управляющему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основными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органическими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процессами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: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кровообращением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пищеварением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железами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внутренней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секреции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Отсюда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тесная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связь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сознанием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так и с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состояниями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его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61E6482C" w14:textId="043E9EE5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Имея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виду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важное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значение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Ч.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Дарвин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предложил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объясняющую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происхождение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назначение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органических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изменений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движений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которые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обычно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сопровождают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ярко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выраженные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В ней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естествоиспытатель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обратил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внимание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тот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факт,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удовольствие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неудовольствие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радость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страх,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гнев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печаль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примерно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одинаковым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образом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проявляются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так и у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человекообразных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обезьян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Ч.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Дарвина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заинтересовал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жизненный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смысл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изменений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организме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которые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сопровождают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соответствующие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Сопоставив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факты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Дарвин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пришел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следующим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выводам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природе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роли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D17902A" w14:textId="6D0113D1">
      <w:pPr>
        <w:pStyle w:val="ListParagraph"/>
        <w:numPr>
          <w:ilvl w:val="0"/>
          <w:numId w:val="1"/>
        </w:num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1.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Внутренние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органические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)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внешние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двигательные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)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проявления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выполняют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важную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приспособительную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роль.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Они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настраивают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его на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определенные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кроме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того,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для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него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сигнал о том,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настроено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намерено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предпринять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другое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существо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7319177D" w14:textId="5C1F2AD8">
      <w:pPr>
        <w:pStyle w:val="ListParagraph"/>
        <w:numPr>
          <w:ilvl w:val="0"/>
          <w:numId w:val="1"/>
        </w:num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2.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Когда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-то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процессе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эволюции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существ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те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органические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двигательные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реакции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которые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у них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есть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настоящее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время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компонентами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полноценных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развернутых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практических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приспособительных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действий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Впоследствии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их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внешние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компоненты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сократились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но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жизненная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функция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осталась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прежней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Например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или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животное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гневе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оскаливают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зубы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напрягают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мышцы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готовясь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нападению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у них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учащается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дыхание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пульс.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сигнал: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живое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существо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готово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совершить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акт 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агрессии</w:t>
      </w:r>
      <w:r w:rsidRPr="39A28405" w:rsidR="39A284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17779C71" w14:textId="3228C255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72600926" w14:textId="3DF10C64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399B3865" w14:textId="25801919">
      <w:pPr>
        <w:pStyle w:val="Normal"/>
      </w:pPr>
    </w:p>
    <w:p w:rsidR="39A28405" w:rsidP="39A28405" w:rsidRDefault="39A28405" w14:paraId="001D7B82" w14:textId="474068E1">
      <w:pPr>
        <w:pStyle w:val="Normal"/>
        <w:rPr>
          <w:color w:val="00B050"/>
          <w:sz w:val="40"/>
          <w:szCs w:val="40"/>
        </w:rPr>
      </w:pPr>
      <w:r w:rsidR="39A28405">
        <w:rPr/>
        <w:t xml:space="preserve">                                                  </w:t>
      </w:r>
      <w:r w:rsidRPr="39A28405" w:rsidR="39A28405">
        <w:rPr>
          <w:color w:val="00B050"/>
          <w:sz w:val="40"/>
          <w:szCs w:val="40"/>
        </w:rPr>
        <w:t xml:space="preserve">  </w:t>
      </w:r>
      <w:r w:rsidRPr="39A28405" w:rsidR="39A28405">
        <w:rPr>
          <w:color w:val="00B050"/>
          <w:sz w:val="40"/>
          <w:szCs w:val="40"/>
        </w:rPr>
        <w:t>Психология</w:t>
      </w:r>
      <w:r w:rsidRPr="39A28405" w:rsidR="39A28405">
        <w:rPr>
          <w:color w:val="00B050"/>
          <w:sz w:val="40"/>
          <w:szCs w:val="40"/>
        </w:rPr>
        <w:t xml:space="preserve"> </w:t>
      </w:r>
      <w:r w:rsidRPr="39A28405" w:rsidR="39A28405">
        <w:rPr>
          <w:color w:val="00B050"/>
          <w:sz w:val="40"/>
          <w:szCs w:val="40"/>
        </w:rPr>
        <w:t>личности</w:t>
      </w:r>
    </w:p>
    <w:p w:rsidR="39A28405" w:rsidP="39A28405" w:rsidRDefault="39A28405" w14:paraId="78CD6E1B" w14:textId="43DE2633">
      <w:pPr>
        <w:pStyle w:val="Normal"/>
      </w:pPr>
      <w:r>
        <w:drawing>
          <wp:inline wp14:editId="1C8BCABD" wp14:anchorId="53709EAA">
            <wp:extent cx="3457575" cy="3457575"/>
            <wp:effectExtent l="0" t="0" r="0" b="0"/>
            <wp:docPr id="944101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3ca79f5ff4f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A28405" w:rsidP="39A28405" w:rsidRDefault="39A28405" w14:paraId="568D0685" w14:textId="5DE3544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—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раздел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изучающий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различные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индивидуальные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процессы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Акцент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делается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попытке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создать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согласованную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картину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взаимосвязях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миром,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жизнью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социумом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другими.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Кроме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того,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изучаются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динамические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аспекты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душевной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индивидуальные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Различные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определения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понятия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: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–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совокупность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общественных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отношений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реализующихся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многообразных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деятельностях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 А.Н. Леонтьев).</w:t>
      </w:r>
    </w:p>
    <w:p w:rsidR="39A28405" w:rsidP="39A28405" w:rsidRDefault="39A28405" w14:paraId="740D9A64" w14:textId="62CCE91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– "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живой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плоти и крови",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вплетенный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во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множество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отношений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миру;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эпицентр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"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взрывных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"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изменений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бытия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бытие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переходящее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идеальную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форму ( С.Л.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Рубинштейн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).</w:t>
      </w:r>
    </w:p>
    <w:p w:rsidR="39A28405" w:rsidP="39A28405" w:rsidRDefault="39A28405" w14:paraId="7DDA42C2" w14:textId="5AB486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–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субъект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: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активный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ответственный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обладающий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способностью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временной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регуляции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разрешению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жизненных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противоречий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(К.А.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Абульханова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)</w:t>
      </w:r>
    </w:p>
    <w:p w:rsidR="39A28405" w:rsidP="39A28405" w:rsidRDefault="39A28405" w14:paraId="29C15E61" w14:textId="437769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ЧЕЛОВЕК —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существо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воплощающее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высшую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ступень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развития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субъект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общественно-исторической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деятельности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00376A30" w14:textId="0382C72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Основные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направления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: 1)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Глубинная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личности-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З. Фрейда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Индивидуальная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А. Адлера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Гуманистический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Э.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Фромма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Психоаналитическая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невротических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конфликтов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Хорни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Аналитическая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К. Г. Юнга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Эго-психоанализ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Э.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Эриксона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Трансакционный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Э. Берна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Гуманистическая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-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Гуманистическая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А. Маслоу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Человеко-центрированный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подход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К. Роджерса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Экзистенциальная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-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Dasein-анализ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Л.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Бинсвангера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М.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Босса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Американская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школа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экзистенциальной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— И.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Ялом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Р.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Мэй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Дж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Бьюдженталь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Логотерапия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Франкла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Экзистенциальный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анализ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А.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Лэнгле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Когнитивное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социально-когнитивное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направления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личности-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конструктов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Дж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Келли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Социально-когнитивная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А.Бандуры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Социально-когнитивная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Дж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Роттер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Бихевиориальная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оперантного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научения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Б.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Скиннера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Диспозициональное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направление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личности-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Диспозициональная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Г.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Олпорта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Структурная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черт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Р.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Кэттелла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Психопатология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психопатологии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душевной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жизни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Ясперса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Теория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личностных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акцентуаций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К. Леонгарда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Патопсихология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Б. В.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Зейгарник</w:t>
      </w:r>
      <w:r w:rsidRPr="39A28405" w:rsidR="39A284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;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Клиническая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П.С. Гуревич.</w:t>
      </w:r>
    </w:p>
    <w:p w:rsidR="39A28405" w:rsidP="39A28405" w:rsidRDefault="39A28405" w14:paraId="588AC45A" w14:textId="49C3EA7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3B61F251" w14:textId="4E925C4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6600825C" w14:textId="2A54F1E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608D8EE2" w14:textId="62DBEBA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079D17CA" w14:textId="2967D91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1469BFF0" w14:textId="757E513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</w:pPr>
    </w:p>
    <w:p w:rsidR="39A28405" w:rsidP="39A28405" w:rsidRDefault="39A28405" w14:paraId="41D78701" w14:textId="2FA7E70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D0D0D" w:themeColor="text1" w:themeTint="F2" w:themeShade="FF"/>
          <w:sz w:val="32"/>
          <w:szCs w:val="32"/>
          <w:vertAlign w:val="superscript"/>
          <w:lang w:val="uk-UA"/>
        </w:rPr>
      </w:pP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При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определении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предмета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изучения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можно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столкнуться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с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некоторыми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трудностями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так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как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—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это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собирательное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понятие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включающее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в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себя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несколько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проявлений 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поэтому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данная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наука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делится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ещё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несколько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дисциплин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изучающих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различные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проявления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подразделяется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на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психологию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эмоций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мотивации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f50869b4857142f4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воли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др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. В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общем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можно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сказать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что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психология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со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всеми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её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подразделениями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изучает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hyperlink r:id="R647a73054b6b4180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эмоции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чувства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e883502156214f80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мысли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16e5145c6b3448a9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самосознание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435c649fe42c4354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ВНД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мотивы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a7d5dfe05d924743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интеллект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, </w:t>
      </w:r>
      <w:hyperlink r:id="R0182550e76404c98">
        <w:r w:rsidRPr="39A28405" w:rsidR="39A2840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32"/>
            <w:szCs w:val="32"/>
            <w:lang w:val="uk-UA"/>
          </w:rPr>
          <w:t>социальные роли</w:t>
        </w:r>
      </w:hyperlink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и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иные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проявления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 xml:space="preserve"> 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личности</w:t>
      </w:r>
      <w:r w:rsidRPr="39A28405" w:rsidR="39A284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uk-UA"/>
        </w:rPr>
        <w:t>.</w:t>
      </w:r>
    </w:p>
    <w:p w:rsidR="39A28405" w:rsidP="39A28405" w:rsidRDefault="39A28405" w14:paraId="7B8B6647" w14:textId="0ACFB003">
      <w:pPr>
        <w:pStyle w:val="Normal"/>
        <w:rPr>
          <w:color w:val="0D0D0D" w:themeColor="text1" w:themeTint="F2" w:themeShade="FF"/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df03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07D3F"/>
    <w:rsid w:val="12407D3F"/>
    <w:rsid w:val="39A28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7D3F"/>
  <w15:chartTrackingRefBased/>
  <w15:docId w15:val="{36B3B749-14D9-4315-A64A-7EE0588C8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6fdc8306c9048d1" /><Relationship Type="http://schemas.openxmlformats.org/officeDocument/2006/relationships/image" Target="/media/image.png" Id="R2e03ca79f5ff4f23" /><Relationship Type="http://schemas.openxmlformats.org/officeDocument/2006/relationships/hyperlink" Target="https://ru.wikipedia.org/wiki/%D0%92%D0%BE%D0%BB%D1%8F" TargetMode="External" Id="Rf50869b4857142f4" /><Relationship Type="http://schemas.openxmlformats.org/officeDocument/2006/relationships/hyperlink" Target="https://ru.wikipedia.org/wiki/%D0%AD%D0%BC%D0%BE%D1%86%D0%B8%D1%8F" TargetMode="External" Id="R647a73054b6b4180" /><Relationship Type="http://schemas.openxmlformats.org/officeDocument/2006/relationships/hyperlink" Target="https://ru.wikipedia.org/wiki/%D0%9C%D1%8B%D1%81%D0%BB%D0%B8" TargetMode="External" Id="Re883502156214f80" /><Relationship Type="http://schemas.openxmlformats.org/officeDocument/2006/relationships/hyperlink" Target="https://ru.wikipedia.org/wiki/%D0%A1%D0%B0%D0%BC%D0%BE%D1%81%D0%BE%D0%B7%D0%BD%D0%B0%D0%BD%D0%B8%D0%B5" TargetMode="External" Id="R16e5145c6b3448a9" /><Relationship Type="http://schemas.openxmlformats.org/officeDocument/2006/relationships/hyperlink" Target="https://ru.wikipedia.org/wiki/%D0%92%D1%8B%D1%81%D1%88%D0%B0%D1%8F_%D0%BD%D0%B5%D1%80%D0%B2%D0%BD%D0%B0%D1%8F_%D0%B4%D0%B5%D1%8F%D1%82%D0%B5%D0%BB%D1%8C%D0%BD%D0%BE%D1%81%D1%82%D1%8C" TargetMode="External" Id="R435c649fe42c4354" /><Relationship Type="http://schemas.openxmlformats.org/officeDocument/2006/relationships/hyperlink" Target="https://ru.wikipedia.org/wiki/%D0%98%D0%BD%D1%82%D0%B5%D0%BB%D0%BB%D0%B5%D0%BA%D1%82" TargetMode="External" Id="Ra7d5dfe05d924743" /><Relationship Type="http://schemas.openxmlformats.org/officeDocument/2006/relationships/hyperlink" Target="https://ru.wikipedia.org/wiki/%D0%A1%D0%BE%D1%86%D0%B8%D0%B0%D0%BB%D1%8C%D0%BD%D0%B0%D1%8F_%D1%80%D0%BE%D0%BB%D1%8C" TargetMode="External" Id="R0182550e76404c98" /><Relationship Type="http://schemas.openxmlformats.org/officeDocument/2006/relationships/numbering" Target="numbering.xml" Id="R57cff492817a4b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2022-11-11T07:28:07.9734223Z</dcterms:created>
  <dcterms:modified xsi:type="dcterms:W3CDTF">2022-11-11T07:56:24.0864634Z</dcterms:modified>
  <dc:creator>Валерий Глухоцкий</dc:creator>
  <lastModifiedBy>Валерий Глухоцкий</lastModifiedBy>
</coreProperties>
</file>