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1A" w:rsidRPr="00E2421A" w:rsidRDefault="00E2421A" w:rsidP="00335F98">
      <w:pPr>
        <w:tabs>
          <w:tab w:val="center" w:pos="5173"/>
          <w:tab w:val="right" w:pos="1034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421A">
        <w:rPr>
          <w:rFonts w:ascii="Times New Roman" w:hAnsi="Times New Roman"/>
          <w:sz w:val="24"/>
          <w:szCs w:val="24"/>
        </w:rPr>
        <w:t>Додаток 1.</w:t>
      </w:r>
      <w:r w:rsidR="006E3CAA">
        <w:rPr>
          <w:rFonts w:ascii="Times New Roman" w:hAnsi="Times New Roman"/>
          <w:sz w:val="24"/>
          <w:szCs w:val="24"/>
        </w:rPr>
        <w:t>1</w:t>
      </w:r>
    </w:p>
    <w:p w:rsidR="00E2421A" w:rsidRDefault="00E2421A" w:rsidP="003C3BCF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F98" w:rsidRDefault="00335F98" w:rsidP="003C3BCF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21A" w:rsidRDefault="00525C25" w:rsidP="003C3BCF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5D4">
        <w:rPr>
          <w:rFonts w:ascii="Times New Roman" w:hAnsi="Times New Roman"/>
          <w:b/>
          <w:sz w:val="24"/>
          <w:szCs w:val="24"/>
        </w:rPr>
        <w:t xml:space="preserve">Обґрунтування </w:t>
      </w:r>
      <w:r w:rsidR="00C5534A">
        <w:rPr>
          <w:rFonts w:ascii="Times New Roman" w:hAnsi="Times New Roman"/>
          <w:b/>
          <w:sz w:val="24"/>
          <w:szCs w:val="24"/>
        </w:rPr>
        <w:t>технічного переоснащення</w:t>
      </w:r>
      <w:r w:rsidRPr="00AC25D4">
        <w:rPr>
          <w:rFonts w:ascii="Times New Roman" w:hAnsi="Times New Roman"/>
          <w:b/>
          <w:sz w:val="24"/>
          <w:szCs w:val="24"/>
        </w:rPr>
        <w:t xml:space="preserve"> РПВП </w:t>
      </w:r>
    </w:p>
    <w:p w:rsidR="00525C25" w:rsidRPr="00AC25D4" w:rsidRDefault="00525C25" w:rsidP="003C3BCF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5D4">
        <w:rPr>
          <w:rFonts w:ascii="Times New Roman" w:hAnsi="Times New Roman"/>
          <w:b/>
          <w:sz w:val="24"/>
          <w:szCs w:val="24"/>
        </w:rPr>
        <w:t>в частині заміни лічильників САЗУ-И687 на НІК-230</w:t>
      </w:r>
      <w:r w:rsidR="006E3CAA">
        <w:rPr>
          <w:rFonts w:ascii="Times New Roman" w:hAnsi="Times New Roman"/>
          <w:b/>
          <w:sz w:val="24"/>
          <w:szCs w:val="24"/>
        </w:rPr>
        <w:t>3</w:t>
      </w:r>
      <w:r w:rsidRPr="00AC25D4">
        <w:rPr>
          <w:rFonts w:ascii="Times New Roman" w:hAnsi="Times New Roman"/>
          <w:b/>
          <w:sz w:val="24"/>
          <w:szCs w:val="24"/>
        </w:rPr>
        <w:t>.</w:t>
      </w:r>
    </w:p>
    <w:p w:rsidR="00525C25" w:rsidRPr="00AC25D4" w:rsidRDefault="00525C25" w:rsidP="003C3BC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5C25" w:rsidRPr="00335F98" w:rsidRDefault="00525C25" w:rsidP="003C3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F98">
        <w:rPr>
          <w:rFonts w:ascii="Times New Roman" w:hAnsi="Times New Roman"/>
          <w:sz w:val="24"/>
          <w:szCs w:val="24"/>
        </w:rPr>
        <w:t xml:space="preserve">Згідно ПУЕ у 1962р. на ТЕЦ були встановленні індукційні лічильники електроенергії  типу САЗУ-И687, які вимірюють загальну кількість виробленої та спожитої електричної енергії на власні та господарські потреби (ПУЕ- 2009 п.1.5.41. для технічного обліку електроенергії повинні встановлюватись лічильники  на електростанції  напругою 35 кВ і більше енергосистеми, а також на сторонах середньої та низької напруги силових трансформаторів, на кожному приєднанні 6 кВ).  Система обліку дає можливість розраховувати нормативні та фактичні техніко-економічні показники роботи обладнання, витрати палива на відпущено та теплову електроенергію при їх комбінованому виробництві з урахуванням витрат електроенергії на власні потреби. </w:t>
      </w:r>
    </w:p>
    <w:p w:rsidR="00525C25" w:rsidRPr="00335F98" w:rsidRDefault="00525C25" w:rsidP="003C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98">
        <w:rPr>
          <w:rFonts w:ascii="Times New Roman" w:hAnsi="Times New Roman"/>
          <w:sz w:val="24"/>
          <w:szCs w:val="24"/>
        </w:rPr>
        <w:t xml:space="preserve">На даний час індукційні лічильники типу САЗУ-И687 фізично зношені та морально застарілі, зняті з виробництва, запчастини для ремонту приладу не виготовляються, 80% загальної кількості лічильників мають не задовільний технічний стан та вважаються не придатними до експлуатації. 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На сьогодні в  Україні вітчизняні виробники пропонують широкий вибір електронних лічильників в різних цінових діапазонах, при цьому всі лічильники внесені до Державного реєстру засобів вимірювальної техніки України і допущені до установки. Застосування на підприємстві електронних лічильників  позволяє багаторазово повисити точність вимірювань та можливість запам’ятовувати, а відсутність механіки значно повисить надійність лічильника. Серед достоїнств електронних лічильників не менше істотним є їх багатофункціональність. Сучасні електронні прилади обліку мають можливість одночасного обліку декількох складових: активної, реактивної складової споживаної електричної енергії, та використання в системах АСКОЕ і АСТОЕ (автоматизовані системи обліку електричної енергії). Крім того, величезною перевагою є наявність можливості моніторингу показань на задане значення часу, а також можливість тривалого зберігання цих даних.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ab/>
        <w:t>Серед представленого на ринку переліку лічильників від зарубіжних виробників ЗАТ «ELGAMA-ELEKTRONIKA» м. Вільнюс Литва, ЗАТ «Електротехнічний завод «</w:t>
      </w:r>
      <w:proofErr w:type="spellStart"/>
      <w:r w:rsidRPr="00504735">
        <w:rPr>
          <w:rFonts w:ascii="Times New Roman" w:hAnsi="Times New Roman"/>
          <w:sz w:val="24"/>
          <w:szCs w:val="24"/>
        </w:rPr>
        <w:t>Енергомера</w:t>
      </w:r>
      <w:proofErr w:type="spellEnd"/>
      <w:r w:rsidRPr="00504735">
        <w:rPr>
          <w:rFonts w:ascii="Times New Roman" w:hAnsi="Times New Roman"/>
          <w:sz w:val="24"/>
          <w:szCs w:val="24"/>
        </w:rPr>
        <w:t xml:space="preserve">» Ставропольський край Росія серйозну конкуренцію провідним світовим компаніям складають відомі українські виробники такі як «АДД-енергія» і «NIK» . Вартість лічильника електроенергії вітчизняного виробництва дешевше ніж точно такого приладу з Європи який буде коштувати в два або три рази дорожче. Електролічильники вироблені в нашій країні максимально адаптовані під особливості роботи наших електричних мереж. 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Розглянувши типи лічильників, які пропонують українські компанії спеціалісти підприємства розрахували, що найкращим за контролем якості, надійності та високого рівня захисту  сучасним моделям є електронні лічильники типу НІК 2303.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Немає сенсу перебирати всі переваги електронних лічильників і їх недоліки, зрозуміло, що перевага електронних лічильників - це недоліки індукційних лічильників: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1. низький клас точності;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2. зростання похибки при зниженні навантаження;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3. порушення метрологічних характеристик при швидкозмінних навантаженні;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4. порушення метрологічних характеристик при несинусоїдної струмі;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5. слабкий захист від традиційних методів розкрадання електроенергії;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6. обмежені можливості дистанційного знімання даних;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7. підвищений власне споживання по ланцюгах струму і напруги;</w:t>
      </w:r>
    </w:p>
    <w:p w:rsidR="00504735" w:rsidRP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t>8. необхідність використання в точці обліку декількох лічильників за видами енергії.</w:t>
      </w:r>
    </w:p>
    <w:p w:rsidR="00504735" w:rsidRDefault="00504735" w:rsidP="00504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35">
        <w:rPr>
          <w:rFonts w:ascii="Times New Roman" w:hAnsi="Times New Roman"/>
          <w:sz w:val="24"/>
          <w:szCs w:val="24"/>
        </w:rPr>
        <w:lastRenderedPageBreak/>
        <w:t>Лічильники підлягають обов’язковій повірці в акредитованій Державній метрологічній організації в установлені терміни, як підтвердження правильності вимірювань і можливість подальшого використання приладу. Тому електронні лічильники  мають тривалий термін робочого інтервалу між повірки від 4 до 16 років та внесені до Державного реєстру та вказано в паспорті приладу. Так як процес періодичної повірки приладів обліку – це додаткові витрати, і чим вони рідше, тим краще.</w:t>
      </w:r>
    </w:p>
    <w:p w:rsidR="00114221" w:rsidRPr="00335F98" w:rsidRDefault="00114221" w:rsidP="001142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F98">
        <w:rPr>
          <w:rFonts w:ascii="Times New Roman" w:hAnsi="Times New Roman"/>
          <w:sz w:val="24"/>
          <w:szCs w:val="24"/>
        </w:rPr>
        <w:t>Електронні лічильники НІК 230</w:t>
      </w:r>
      <w:r w:rsidR="002866A6">
        <w:rPr>
          <w:rFonts w:ascii="Times New Roman" w:hAnsi="Times New Roman"/>
          <w:sz w:val="24"/>
          <w:szCs w:val="24"/>
        </w:rPr>
        <w:t>3</w:t>
      </w:r>
      <w:r w:rsidRPr="00335F98">
        <w:rPr>
          <w:rFonts w:ascii="Times New Roman" w:hAnsi="Times New Roman"/>
          <w:sz w:val="24"/>
          <w:szCs w:val="24"/>
        </w:rPr>
        <w:t>, що закупляються, не потребують  проведення додаткової повірки, так як проходять первинну повірку на заводі виробнику з відміткою о повірці в технічному паспорті приладу, надалі підлягають повірці в установлені терміни.</w:t>
      </w:r>
    </w:p>
    <w:p w:rsidR="00114221" w:rsidRPr="00335F98" w:rsidRDefault="00525C25" w:rsidP="001142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F98">
        <w:rPr>
          <w:rFonts w:ascii="Times New Roman" w:hAnsi="Times New Roman"/>
          <w:sz w:val="24"/>
          <w:szCs w:val="24"/>
        </w:rPr>
        <w:t>Виходячи з вищезазначеного виникла необхідність у 20</w:t>
      </w:r>
      <w:r w:rsidR="008B5DAB" w:rsidRPr="00335F98">
        <w:rPr>
          <w:rFonts w:ascii="Times New Roman" w:hAnsi="Times New Roman"/>
          <w:sz w:val="24"/>
          <w:szCs w:val="24"/>
        </w:rPr>
        <w:t>2</w:t>
      </w:r>
      <w:r w:rsidR="00F11F19" w:rsidRPr="00F11F19">
        <w:rPr>
          <w:rFonts w:ascii="Times New Roman" w:hAnsi="Times New Roman"/>
          <w:sz w:val="24"/>
          <w:szCs w:val="24"/>
        </w:rPr>
        <w:t>2</w:t>
      </w:r>
      <w:r w:rsidR="00F11F19">
        <w:rPr>
          <w:rFonts w:ascii="Times New Roman" w:hAnsi="Times New Roman"/>
          <w:sz w:val="24"/>
          <w:szCs w:val="24"/>
        </w:rPr>
        <w:t xml:space="preserve"> </w:t>
      </w:r>
      <w:r w:rsidRPr="00335F98">
        <w:rPr>
          <w:rFonts w:ascii="Times New Roman" w:hAnsi="Times New Roman"/>
          <w:sz w:val="24"/>
          <w:szCs w:val="24"/>
        </w:rPr>
        <w:t>р</w:t>
      </w:r>
      <w:r w:rsidR="00F11F19">
        <w:rPr>
          <w:rFonts w:ascii="Times New Roman" w:hAnsi="Times New Roman"/>
          <w:sz w:val="24"/>
          <w:szCs w:val="24"/>
        </w:rPr>
        <w:t>оці</w:t>
      </w:r>
      <w:r w:rsidRPr="00335F98">
        <w:rPr>
          <w:rFonts w:ascii="Times New Roman" w:hAnsi="Times New Roman"/>
          <w:sz w:val="24"/>
          <w:szCs w:val="24"/>
        </w:rPr>
        <w:t xml:space="preserve"> за рахунок інвестиційної програми підприємства здійснити заміну індукційних лічильників типу САЗУ-И687 на електронні лічильники типу НІК 230</w:t>
      </w:r>
      <w:r w:rsidR="006E3CAA">
        <w:rPr>
          <w:rFonts w:ascii="Times New Roman" w:hAnsi="Times New Roman"/>
          <w:sz w:val="24"/>
          <w:szCs w:val="24"/>
        </w:rPr>
        <w:t>3</w:t>
      </w:r>
      <w:r w:rsidRPr="00335F98">
        <w:rPr>
          <w:rFonts w:ascii="Times New Roman" w:hAnsi="Times New Roman"/>
          <w:sz w:val="24"/>
          <w:szCs w:val="24"/>
        </w:rPr>
        <w:t>, які мають високу точність та малу похибку в результатах вимірювання кількості споживаної електричної енергії.</w:t>
      </w:r>
    </w:p>
    <w:p w:rsidR="00114221" w:rsidRDefault="00114221" w:rsidP="001142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F98">
        <w:rPr>
          <w:rFonts w:ascii="Times New Roman" w:hAnsi="Times New Roman"/>
          <w:sz w:val="24"/>
          <w:szCs w:val="24"/>
        </w:rPr>
        <w:t>Виконання даного заходу не потребує розробки проекту, так як заміна даних лічильників буде виконуватись згідно існуючих електричних схем розподільчого пристрою власних потреб.</w:t>
      </w:r>
    </w:p>
    <w:p w:rsidR="00E26EB3" w:rsidRPr="00E26EB3" w:rsidRDefault="00E26EB3" w:rsidP="00E26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6EB3">
        <w:rPr>
          <w:rFonts w:ascii="Times New Roman" w:hAnsi="Times New Roman"/>
          <w:sz w:val="24"/>
          <w:szCs w:val="24"/>
        </w:rPr>
        <w:t>Згідно пункту 5.2 Кодексу комерційного обліку електричної енергії, затвердженому Постановою НКРЕКП від 14.03.2018 № 311 (у редакції постанови НКРЕКП</w:t>
      </w:r>
      <w:r w:rsidRPr="00E26EB3">
        <w:rPr>
          <w:rFonts w:ascii="Times New Roman" w:hAnsi="Times New Roman"/>
          <w:sz w:val="24"/>
          <w:szCs w:val="24"/>
        </w:rPr>
        <w:br/>
        <w:t>від 20.03.2020 </w:t>
      </w:r>
      <w:hyperlink r:id="rId5" w:anchor="n85" w:tgtFrame="_blank" w:history="1">
        <w:r w:rsidRPr="00E26EB3">
          <w:rPr>
            <w:rFonts w:ascii="Times New Roman" w:hAnsi="Times New Roman"/>
            <w:sz w:val="24"/>
            <w:szCs w:val="24"/>
          </w:rPr>
          <w:t>№ 716</w:t>
        </w:r>
      </w:hyperlink>
      <w:r w:rsidRPr="00E26EB3">
        <w:rPr>
          <w:rFonts w:ascii="Times New Roman" w:hAnsi="Times New Roman"/>
          <w:sz w:val="24"/>
          <w:szCs w:val="24"/>
        </w:rPr>
        <w:t xml:space="preserve">) про порядок улаштування вузла обліку: </w:t>
      </w:r>
    </w:p>
    <w:p w:rsidR="00E26EB3" w:rsidRPr="00E26EB3" w:rsidRDefault="00E26EB3" w:rsidP="00E26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6EB3">
        <w:rPr>
          <w:rFonts w:ascii="Times New Roman" w:hAnsi="Times New Roman"/>
          <w:sz w:val="24"/>
          <w:szCs w:val="24"/>
        </w:rPr>
        <w:t xml:space="preserve">      5.2.16. Технічне завдання та проект не розробляються, якщо улаштування   (установлення, заміна або модернізація) вузла обліку здійснюється:</w:t>
      </w:r>
    </w:p>
    <w:p w:rsidR="00E26EB3" w:rsidRPr="00E26EB3" w:rsidRDefault="00E26EB3" w:rsidP="00E26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6EB3">
        <w:rPr>
          <w:rFonts w:ascii="Times New Roman" w:hAnsi="Times New Roman"/>
          <w:sz w:val="24"/>
          <w:szCs w:val="24"/>
        </w:rPr>
        <w:t xml:space="preserve"> -  відповідно до типових технічних рекомендацій та типових проектних рішень (проектів);</w:t>
      </w:r>
    </w:p>
    <w:p w:rsidR="00E26EB3" w:rsidRPr="00504735" w:rsidRDefault="00E26EB3" w:rsidP="00E26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6EB3">
        <w:rPr>
          <w:rFonts w:ascii="Times New Roman" w:hAnsi="Times New Roman"/>
          <w:sz w:val="24"/>
          <w:szCs w:val="24"/>
        </w:rPr>
        <w:t xml:space="preserve"> -  без зміни електричної схеми комерційного обліку електричної енергії та/або місця встановлення вузла обліку відповідно до існуючих проектних рішень (проектів).</w:t>
      </w:r>
    </w:p>
    <w:p w:rsidR="00F11F19" w:rsidRPr="00F11F19" w:rsidRDefault="00F11F19" w:rsidP="00F11F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1F19">
        <w:rPr>
          <w:rFonts w:ascii="Times New Roman" w:hAnsi="Times New Roman"/>
          <w:sz w:val="24"/>
          <w:szCs w:val="24"/>
        </w:rPr>
        <w:t>Вартість технічного переоснащення РПВП в частині заміни лічильників САЗУ-И687 на НІК-2303</w:t>
      </w:r>
      <w:r>
        <w:rPr>
          <w:rFonts w:ascii="Times New Roman" w:hAnsi="Times New Roman"/>
          <w:sz w:val="24"/>
          <w:szCs w:val="24"/>
        </w:rPr>
        <w:t xml:space="preserve"> становить 104.14 тис. грн.. без ПДВ.</w:t>
      </w:r>
    </w:p>
    <w:p w:rsidR="00525C25" w:rsidRPr="00335F98" w:rsidRDefault="00525C25" w:rsidP="00F11F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F98">
        <w:rPr>
          <w:rFonts w:ascii="Times New Roman" w:hAnsi="Times New Roman"/>
          <w:sz w:val="24"/>
          <w:szCs w:val="24"/>
        </w:rPr>
        <w:t xml:space="preserve">Використання електронних лічильників надасть </w:t>
      </w:r>
      <w:r w:rsidR="00321B09" w:rsidRPr="00335F98">
        <w:rPr>
          <w:rFonts w:ascii="Times New Roman" w:hAnsi="Times New Roman"/>
          <w:sz w:val="24"/>
          <w:szCs w:val="24"/>
        </w:rPr>
        <w:t>можлив</w:t>
      </w:r>
      <w:r w:rsidR="00103819" w:rsidRPr="00335F98">
        <w:rPr>
          <w:rFonts w:ascii="Times New Roman" w:hAnsi="Times New Roman"/>
          <w:sz w:val="24"/>
          <w:szCs w:val="24"/>
        </w:rPr>
        <w:t>і</w:t>
      </w:r>
      <w:r w:rsidR="00321B09" w:rsidRPr="00335F98">
        <w:rPr>
          <w:rFonts w:ascii="Times New Roman" w:hAnsi="Times New Roman"/>
          <w:sz w:val="24"/>
          <w:szCs w:val="24"/>
        </w:rPr>
        <w:t>сть виконувати техн</w:t>
      </w:r>
      <w:r w:rsidR="00103819" w:rsidRPr="00335F98">
        <w:rPr>
          <w:rFonts w:ascii="Times New Roman" w:hAnsi="Times New Roman"/>
          <w:sz w:val="24"/>
          <w:szCs w:val="24"/>
        </w:rPr>
        <w:t>і</w:t>
      </w:r>
      <w:r w:rsidR="00321B09" w:rsidRPr="00335F98">
        <w:rPr>
          <w:rFonts w:ascii="Times New Roman" w:hAnsi="Times New Roman"/>
          <w:sz w:val="24"/>
          <w:szCs w:val="24"/>
        </w:rPr>
        <w:t>чний обл</w:t>
      </w:r>
      <w:r w:rsidR="00103819" w:rsidRPr="00335F98">
        <w:rPr>
          <w:rFonts w:ascii="Times New Roman" w:hAnsi="Times New Roman"/>
          <w:sz w:val="24"/>
          <w:szCs w:val="24"/>
        </w:rPr>
        <w:t>і</w:t>
      </w:r>
      <w:r w:rsidR="00321B09" w:rsidRPr="00335F98">
        <w:rPr>
          <w:rFonts w:ascii="Times New Roman" w:hAnsi="Times New Roman"/>
          <w:sz w:val="24"/>
          <w:szCs w:val="24"/>
        </w:rPr>
        <w:t>к електроенерг</w:t>
      </w:r>
      <w:r w:rsidR="00103819" w:rsidRPr="00335F98">
        <w:rPr>
          <w:rFonts w:ascii="Times New Roman" w:hAnsi="Times New Roman"/>
          <w:sz w:val="24"/>
          <w:szCs w:val="24"/>
        </w:rPr>
        <w:t xml:space="preserve">ії. </w:t>
      </w:r>
      <w:r w:rsidR="008A6BF9" w:rsidRPr="00335F98">
        <w:rPr>
          <w:rFonts w:ascii="Times New Roman" w:hAnsi="Times New Roman"/>
          <w:sz w:val="24"/>
          <w:szCs w:val="24"/>
        </w:rPr>
        <w:t>Якісний облік витрат електроенергії</w:t>
      </w:r>
      <w:r w:rsidR="00103819" w:rsidRPr="00335F98">
        <w:rPr>
          <w:rFonts w:ascii="Times New Roman" w:hAnsi="Times New Roman"/>
          <w:sz w:val="24"/>
          <w:szCs w:val="24"/>
        </w:rPr>
        <w:t xml:space="preserve"> дозволить більш раціонально підбирати працююче обладнання, </w:t>
      </w:r>
      <w:r w:rsidR="00321B09" w:rsidRPr="00335F98">
        <w:rPr>
          <w:rFonts w:ascii="Times New Roman" w:hAnsi="Times New Roman"/>
          <w:sz w:val="24"/>
          <w:szCs w:val="24"/>
        </w:rPr>
        <w:t xml:space="preserve">що </w:t>
      </w:r>
      <w:r w:rsidR="008A6BF9" w:rsidRPr="00335F98">
        <w:rPr>
          <w:rFonts w:ascii="Times New Roman" w:hAnsi="Times New Roman"/>
          <w:sz w:val="24"/>
          <w:szCs w:val="24"/>
        </w:rPr>
        <w:t xml:space="preserve">надасть змогу </w:t>
      </w:r>
      <w:r w:rsidR="00103819" w:rsidRPr="00335F98">
        <w:rPr>
          <w:rFonts w:ascii="Times New Roman" w:hAnsi="Times New Roman"/>
          <w:sz w:val="24"/>
          <w:szCs w:val="24"/>
        </w:rPr>
        <w:t>істотн</w:t>
      </w:r>
      <w:r w:rsidR="008A6BF9" w:rsidRPr="00335F98">
        <w:rPr>
          <w:rFonts w:ascii="Times New Roman" w:hAnsi="Times New Roman"/>
          <w:sz w:val="24"/>
          <w:szCs w:val="24"/>
        </w:rPr>
        <w:t>о</w:t>
      </w:r>
      <w:r w:rsidR="00103819" w:rsidRPr="00335F98">
        <w:rPr>
          <w:rFonts w:ascii="Times New Roman" w:hAnsi="Times New Roman"/>
          <w:sz w:val="24"/>
          <w:szCs w:val="24"/>
        </w:rPr>
        <w:t xml:space="preserve"> економ</w:t>
      </w:r>
      <w:r w:rsidR="008A6BF9" w:rsidRPr="00335F98">
        <w:rPr>
          <w:rFonts w:ascii="Times New Roman" w:hAnsi="Times New Roman"/>
          <w:sz w:val="24"/>
          <w:szCs w:val="24"/>
        </w:rPr>
        <w:t>ити</w:t>
      </w:r>
      <w:r w:rsidR="00103819" w:rsidRPr="00335F98">
        <w:rPr>
          <w:rFonts w:ascii="Times New Roman" w:hAnsi="Times New Roman"/>
          <w:sz w:val="24"/>
          <w:szCs w:val="24"/>
        </w:rPr>
        <w:t xml:space="preserve"> матеріальн</w:t>
      </w:r>
      <w:r w:rsidR="008A6BF9" w:rsidRPr="00335F98">
        <w:rPr>
          <w:rFonts w:ascii="Times New Roman" w:hAnsi="Times New Roman"/>
          <w:sz w:val="24"/>
          <w:szCs w:val="24"/>
        </w:rPr>
        <w:t>і</w:t>
      </w:r>
      <w:r w:rsidR="00103819" w:rsidRPr="00335F98">
        <w:rPr>
          <w:rFonts w:ascii="Times New Roman" w:hAnsi="Times New Roman"/>
          <w:sz w:val="24"/>
          <w:szCs w:val="24"/>
        </w:rPr>
        <w:t xml:space="preserve"> ресур</w:t>
      </w:r>
      <w:r w:rsidR="008A6BF9" w:rsidRPr="00335F98">
        <w:rPr>
          <w:rFonts w:ascii="Times New Roman" w:hAnsi="Times New Roman"/>
          <w:sz w:val="24"/>
          <w:szCs w:val="24"/>
        </w:rPr>
        <w:t>си(паливо, вода та електроенергія) та забезпечить надійне електрозабезпечення</w:t>
      </w:r>
      <w:r w:rsidR="002F262A" w:rsidRPr="00335F98">
        <w:rPr>
          <w:rFonts w:ascii="Times New Roman" w:hAnsi="Times New Roman"/>
          <w:sz w:val="24"/>
          <w:szCs w:val="24"/>
        </w:rPr>
        <w:t>.</w:t>
      </w:r>
    </w:p>
    <w:p w:rsidR="00525C25" w:rsidRPr="00335F98" w:rsidRDefault="00525C25" w:rsidP="003C3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221" w:rsidRPr="00335F98" w:rsidRDefault="00114221" w:rsidP="003C3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221" w:rsidRPr="00335F98" w:rsidRDefault="00114221" w:rsidP="003C3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221" w:rsidRPr="00335F98" w:rsidRDefault="00114221" w:rsidP="003C3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14221" w:rsidRPr="00335F98" w:rsidSect="00335F98">
      <w:pgSz w:w="11906" w:h="16838"/>
      <w:pgMar w:top="680" w:right="79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675"/>
    <w:multiLevelType w:val="hybridMultilevel"/>
    <w:tmpl w:val="D5F49256"/>
    <w:lvl w:ilvl="0" w:tplc="BE484C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836"/>
    <w:rsid w:val="000317CC"/>
    <w:rsid w:val="000C6246"/>
    <w:rsid w:val="00103819"/>
    <w:rsid w:val="001061DC"/>
    <w:rsid w:val="00114221"/>
    <w:rsid w:val="00131338"/>
    <w:rsid w:val="00152BFC"/>
    <w:rsid w:val="00196653"/>
    <w:rsid w:val="001A1256"/>
    <w:rsid w:val="002866A6"/>
    <w:rsid w:val="002F262A"/>
    <w:rsid w:val="003025E6"/>
    <w:rsid w:val="00321B09"/>
    <w:rsid w:val="00321F2A"/>
    <w:rsid w:val="00335F98"/>
    <w:rsid w:val="00343D8E"/>
    <w:rsid w:val="00346953"/>
    <w:rsid w:val="003C3BCF"/>
    <w:rsid w:val="003F40AE"/>
    <w:rsid w:val="00415EE8"/>
    <w:rsid w:val="004233B0"/>
    <w:rsid w:val="00453582"/>
    <w:rsid w:val="004A51CF"/>
    <w:rsid w:val="004A7683"/>
    <w:rsid w:val="004B0BC6"/>
    <w:rsid w:val="004C6D26"/>
    <w:rsid w:val="00504735"/>
    <w:rsid w:val="005172D4"/>
    <w:rsid w:val="00525C25"/>
    <w:rsid w:val="00541803"/>
    <w:rsid w:val="0054379C"/>
    <w:rsid w:val="005505F0"/>
    <w:rsid w:val="005525A4"/>
    <w:rsid w:val="005A0B77"/>
    <w:rsid w:val="005E0D08"/>
    <w:rsid w:val="00600E19"/>
    <w:rsid w:val="00606074"/>
    <w:rsid w:val="006435A4"/>
    <w:rsid w:val="00660D39"/>
    <w:rsid w:val="006E3CAA"/>
    <w:rsid w:val="0071210F"/>
    <w:rsid w:val="007611EE"/>
    <w:rsid w:val="007D3F03"/>
    <w:rsid w:val="00843F61"/>
    <w:rsid w:val="00851D4F"/>
    <w:rsid w:val="00872FBD"/>
    <w:rsid w:val="008A6BF9"/>
    <w:rsid w:val="008B5DAB"/>
    <w:rsid w:val="008D3D55"/>
    <w:rsid w:val="008D4171"/>
    <w:rsid w:val="008F429E"/>
    <w:rsid w:val="009320B8"/>
    <w:rsid w:val="009401B6"/>
    <w:rsid w:val="00943B3C"/>
    <w:rsid w:val="009D44C5"/>
    <w:rsid w:val="009D745C"/>
    <w:rsid w:val="00A4625E"/>
    <w:rsid w:val="00A74B1F"/>
    <w:rsid w:val="00AC25D4"/>
    <w:rsid w:val="00AD6DA2"/>
    <w:rsid w:val="00AE2FAD"/>
    <w:rsid w:val="00AF324D"/>
    <w:rsid w:val="00C5534A"/>
    <w:rsid w:val="00C61DE9"/>
    <w:rsid w:val="00CA32D5"/>
    <w:rsid w:val="00D05867"/>
    <w:rsid w:val="00D27970"/>
    <w:rsid w:val="00D410ED"/>
    <w:rsid w:val="00D609F2"/>
    <w:rsid w:val="00DA6FF9"/>
    <w:rsid w:val="00DC0388"/>
    <w:rsid w:val="00DC3D70"/>
    <w:rsid w:val="00DD4032"/>
    <w:rsid w:val="00DD5A81"/>
    <w:rsid w:val="00DE2836"/>
    <w:rsid w:val="00E01B90"/>
    <w:rsid w:val="00E12A21"/>
    <w:rsid w:val="00E2421A"/>
    <w:rsid w:val="00E26EB3"/>
    <w:rsid w:val="00EC73FF"/>
    <w:rsid w:val="00EF58DE"/>
    <w:rsid w:val="00F11F19"/>
    <w:rsid w:val="00F1788D"/>
    <w:rsid w:val="00F33213"/>
    <w:rsid w:val="00F377FD"/>
    <w:rsid w:val="00F50FB7"/>
    <w:rsid w:val="00F6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64286-660A-47C8-9B9B-B935CB9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70"/>
    <w:pPr>
      <w:spacing w:after="160" w:line="259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505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05F0"/>
    <w:rPr>
      <w:rFonts w:ascii="Consolas" w:hAnsi="Consolas" w:cs="Times New Roman"/>
      <w:sz w:val="20"/>
      <w:szCs w:val="20"/>
      <w:lang w:eastAsia="uk-UA"/>
    </w:rPr>
  </w:style>
  <w:style w:type="character" w:styleId="a3">
    <w:name w:val="annotation reference"/>
    <w:basedOn w:val="a0"/>
    <w:uiPriority w:val="99"/>
    <w:semiHidden/>
    <w:rsid w:val="00843F6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3F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43F61"/>
    <w:rPr>
      <w:rFonts w:eastAsia="Times New Roman" w:cs="Times New Roman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rsid w:val="00843F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43F61"/>
    <w:rPr>
      <w:rFonts w:eastAsia="Times New Roman" w:cs="Times New Roman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84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3F61"/>
    <w:rPr>
      <w:rFonts w:ascii="Segoe UI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E26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716874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720</Words>
  <Characters>5129</Characters>
  <Application>Microsoft Office Word</Application>
  <DocSecurity>0</DocSecurity>
  <Lines>89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Иван</cp:lastModifiedBy>
  <cp:revision>20</cp:revision>
  <cp:lastPrinted>2021-10-05T06:54:00Z</cp:lastPrinted>
  <dcterms:created xsi:type="dcterms:W3CDTF">2018-08-20T13:04:00Z</dcterms:created>
  <dcterms:modified xsi:type="dcterms:W3CDTF">2023-11-03T12:56:00Z</dcterms:modified>
</cp:coreProperties>
</file>