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F41" w:rsidRDefault="00000000">
      <w:pPr>
        <w:spacing w:after="240"/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606730</wp:posOffset>
            </wp:positionH>
            <wp:positionV relativeFrom="paragraph">
              <wp:posOffset>2457</wp:posOffset>
            </wp:positionV>
            <wp:extent cx="1867684" cy="186768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7684" cy="186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Судебный участок №2 </w:t>
      </w:r>
      <w:proofErr w:type="spellStart"/>
      <w:r>
        <w:rPr>
          <w:b/>
        </w:rPr>
        <w:t>Сургутского</w:t>
      </w:r>
      <w:proofErr w:type="spellEnd"/>
      <w:r>
        <w:rPr>
          <w:b/>
        </w:rPr>
        <w:t xml:space="preserve"> судебного района</w:t>
      </w:r>
    </w:p>
    <w:p w:rsidR="00326F41" w:rsidRDefault="00000000">
      <w:pPr>
        <w:spacing w:line="259" w:lineRule="auto"/>
        <w:ind w:left="3405" w:right="2439" w:hanging="10"/>
        <w:jc w:val="center"/>
      </w:pPr>
      <w:r>
        <w:rPr>
          <w:b/>
        </w:rPr>
        <w:t>Истец:</w:t>
      </w:r>
    </w:p>
    <w:p w:rsidR="00326F41" w:rsidRDefault="00000000">
      <w:pPr>
        <w:spacing w:after="38"/>
        <w:ind w:firstLine="0"/>
      </w:pPr>
      <w:r>
        <w:t>СЮЗЕВА ДАРЬЯ АЛЕКСАНДРОВНА</w:t>
      </w:r>
    </w:p>
    <w:p w:rsidR="00326F41" w:rsidRDefault="00000000">
      <w:pPr>
        <w:spacing w:after="38"/>
        <w:ind w:firstLine="0"/>
      </w:pPr>
      <w:r>
        <w:t>628433, Ханты-Мансийский</w:t>
      </w:r>
    </w:p>
    <w:p w:rsidR="00326F41" w:rsidRDefault="00000000">
      <w:pPr>
        <w:spacing w:after="240"/>
        <w:ind w:left="4872" w:right="36" w:hanging="10"/>
        <w:jc w:val="left"/>
      </w:pPr>
      <w:r>
        <w:t xml:space="preserve">Автономный округ - Югра, </w:t>
      </w:r>
      <w:proofErr w:type="spellStart"/>
      <w:r>
        <w:t>Сургутский</w:t>
      </w:r>
      <w:proofErr w:type="spellEnd"/>
      <w:r>
        <w:t xml:space="preserve"> р-н, </w:t>
      </w:r>
      <w:proofErr w:type="spellStart"/>
      <w:r>
        <w:t>пгт</w:t>
      </w:r>
      <w:proofErr w:type="spellEnd"/>
      <w:r>
        <w:t xml:space="preserve"> Белый Яр, </w:t>
      </w:r>
      <w:proofErr w:type="spellStart"/>
      <w:r>
        <w:t>ул</w:t>
      </w:r>
      <w:proofErr w:type="spellEnd"/>
      <w:r>
        <w:t xml:space="preserve"> Некрасова, д 1А, </w:t>
      </w:r>
      <w:proofErr w:type="spellStart"/>
      <w:r>
        <w:t>кв</w:t>
      </w:r>
      <w:proofErr w:type="spellEnd"/>
      <w:r>
        <w:t xml:space="preserve"> 56</w:t>
      </w:r>
    </w:p>
    <w:p w:rsidR="00326F41" w:rsidRDefault="00000000">
      <w:pPr>
        <w:spacing w:line="259" w:lineRule="auto"/>
        <w:ind w:left="3405" w:right="2439" w:hanging="10"/>
        <w:jc w:val="center"/>
      </w:pPr>
      <w:r>
        <w:rPr>
          <w:b/>
        </w:rPr>
        <w:t>Ответчик:</w:t>
      </w:r>
    </w:p>
    <w:p w:rsidR="00326F41" w:rsidRDefault="00000000">
      <w:pPr>
        <w:spacing w:after="38"/>
        <w:ind w:firstLine="0"/>
      </w:pPr>
      <w:r>
        <w:t>Сюзев Павел Николаевич</w:t>
      </w:r>
    </w:p>
    <w:p w:rsidR="00326F41" w:rsidRDefault="00000000">
      <w:pPr>
        <w:spacing w:after="38"/>
        <w:ind w:left="4877" w:firstLine="0"/>
      </w:pPr>
      <w:r>
        <w:t>628433, Ханты-Мансийский</w:t>
      </w:r>
    </w:p>
    <w:p w:rsidR="00326F41" w:rsidRDefault="00000000">
      <w:pPr>
        <w:ind w:left="4872" w:right="36" w:hanging="10"/>
        <w:jc w:val="left"/>
      </w:pPr>
      <w:r>
        <w:t xml:space="preserve">Автономный округ - Югра, </w:t>
      </w:r>
      <w:proofErr w:type="spellStart"/>
      <w:r>
        <w:t>Сургутский</w:t>
      </w:r>
      <w:proofErr w:type="spellEnd"/>
      <w:r>
        <w:t xml:space="preserve"> р-н, </w:t>
      </w:r>
      <w:proofErr w:type="spellStart"/>
      <w:r>
        <w:t>пгт</w:t>
      </w:r>
      <w:proofErr w:type="spellEnd"/>
      <w:r>
        <w:t xml:space="preserve"> Белый Яр, </w:t>
      </w:r>
      <w:proofErr w:type="spellStart"/>
      <w:r>
        <w:t>ул</w:t>
      </w:r>
      <w:proofErr w:type="spellEnd"/>
      <w:r>
        <w:t xml:space="preserve"> Некрасова, д 1А, </w:t>
      </w:r>
      <w:proofErr w:type="spellStart"/>
      <w:r>
        <w:t>кв</w:t>
      </w:r>
      <w:proofErr w:type="spellEnd"/>
      <w:r>
        <w:t xml:space="preserve"> 56</w:t>
      </w:r>
    </w:p>
    <w:p w:rsidR="00326F41" w:rsidRDefault="00000000">
      <w:pPr>
        <w:spacing w:after="240"/>
        <w:ind w:left="4877" w:firstLine="0"/>
      </w:pPr>
      <w:r>
        <w:t>Иными идентификаторами ответчика не располагаю</w:t>
      </w:r>
    </w:p>
    <w:p w:rsidR="00326F41" w:rsidRDefault="00000000">
      <w:pPr>
        <w:spacing w:line="259" w:lineRule="auto"/>
        <w:ind w:left="3405" w:right="1319" w:hanging="10"/>
        <w:jc w:val="center"/>
      </w:pPr>
      <w:r>
        <w:rPr>
          <w:b/>
        </w:rPr>
        <w:t>Госпошлина:</w:t>
      </w:r>
    </w:p>
    <w:p w:rsidR="00326F41" w:rsidRDefault="00000000">
      <w:pPr>
        <w:spacing w:after="239" w:line="259" w:lineRule="auto"/>
        <w:ind w:left="1770" w:firstLine="0"/>
        <w:jc w:val="center"/>
      </w:pPr>
      <w:r>
        <w:t>600 рублей</w:t>
      </w:r>
    </w:p>
    <w:p w:rsidR="00326F41" w:rsidRDefault="00000000">
      <w:pPr>
        <w:spacing w:after="202" w:line="259" w:lineRule="auto"/>
        <w:ind w:left="3405" w:right="3395" w:hanging="10"/>
        <w:jc w:val="center"/>
      </w:pPr>
      <w:r>
        <w:rPr>
          <w:b/>
        </w:rPr>
        <w:t>Исковое заявление о расторжении брака</w:t>
      </w:r>
    </w:p>
    <w:p w:rsidR="00326F41" w:rsidRDefault="00000000">
      <w:pPr>
        <w:ind w:left="-15"/>
      </w:pPr>
      <w:r>
        <w:t>Между Сюзевой Дарьей Александровной и Сюзевым Павлом Николаевичем в соответствии с законом был зарегистрирован брак 14.04.2023 г. Несовершеннолетних детей на момент направления настоящего искового заявления от данного брака нет.</w:t>
      </w:r>
    </w:p>
    <w:p w:rsidR="00326F41" w:rsidRDefault="00000000">
      <w:pPr>
        <w:ind w:left="-15"/>
      </w:pPr>
      <w:r>
        <w:t>Дальнейшая совместная жизнь между Истцом и Ответчиком стала невозможна. Общий быт не ведётся, какого-либо имущества, которое можно отнести к совместно нажитому, не приобретается. Взаимной поддержки (финансовой, психологической или иной) добровольно друг другу не оказывается. Спор об имуществе на текущий момент отсутствует.</w:t>
      </w:r>
    </w:p>
    <w:p w:rsidR="00326F41" w:rsidRDefault="00000000">
      <w:pPr>
        <w:ind w:left="-15"/>
      </w:pPr>
      <w:r>
        <w:t>Согласно ст. 18 Семейного кодекса РФ, расторжение брака производится в органах записи актов гражданского состояния, а в случаях, предусмотренных статьями 21 - 23 настоящего Кодекса, в судебном порядке.</w:t>
      </w:r>
    </w:p>
    <w:p w:rsidR="00326F41" w:rsidRDefault="00000000">
      <w:pPr>
        <w:ind w:left="-15"/>
      </w:pPr>
      <w:r>
        <w:t>В соответствии со ст. 21 Семейного кодекса РФ, расторжение брака производится в судебном порядке также в случаях, если один из супругов, несмотря на отсутствие у него возражений, уклоняется от расторжения брака в органах записи актов гражданского состояния, в том числе отказывается подавать заявление.</w:t>
      </w:r>
    </w:p>
    <w:p w:rsidR="00326F41" w:rsidRDefault="00000000">
      <w:pPr>
        <w:ind w:left="-15"/>
      </w:pPr>
      <w:r>
        <w:rPr>
          <w:b/>
        </w:rPr>
        <w:t>Истец сообщает, что Ответчик уклоняется от расторжения брака в органах ЗАГС.</w:t>
      </w:r>
    </w:p>
    <w:p w:rsidR="00326F41" w:rsidRDefault="00000000">
      <w:pPr>
        <w:ind w:left="-15"/>
      </w:pPr>
      <w:r>
        <w:t>В соответствии с п. 1 ст. 22 Семейного кодекса Российской Федерации расторжение брака в судебном порядке при отсутствии согласия одного из супругов на расторжение брака производится, если судом установлено, что дальнейшая совместная жизнь супругов и сохранение семьи невозможны</w:t>
      </w:r>
    </w:p>
    <w:p w:rsidR="00326F41" w:rsidRDefault="00000000">
      <w:pPr>
        <w:ind w:left="-15"/>
      </w:pPr>
      <w:r>
        <w:t>Согласно п. 2 Постановления Пленума Верховного Суда РФ от 05.11.1998 N 15 (ред. от 06.02.2007) «О применении судами законодательства при рассмотрении дел о расторжении брака», расторжение брака по взаимному согласию супругов, не имеющих общих несовершеннолетних детей, в силу п. 1 ст. 19 СК РФ производится в органах записи актов гражданского состояния независимо от наличия либо отсутствия между супругами спора о разделе имущества, являющегося их общей совместной собственностью, о выплате средств на содержание нетрудоспособного нуждающегося супруга. Исключение составляют случаи, когда один из супругов, несмотря на отсутствие у него возражений, уклоняется от расторжения брака, например отказывается подать совместное заявление о расторжении брака либо отдельное заявление в случае, когда он не имеет возможности лично явиться в орган записи актов гражданского состояния для подачи совместного заявления (п. 2 ст. 21 СК РФ, ст. 33 Федерального закона от 15 ноября 1997 г. «Об актах гражданского состояния». В соответствии с п. 21 ранее названного Постановления Пленума Верховного Суда РФ, в соответствии с п. 1 ст. 25 СК РФ брак, расторгнутый в судебном порядке, считается прекращённым со дня вступления решения суда в законную силу. При этом согласно ч. 2 ст. 25 Семейного кодекса РФ, расторжение брака в суде подлежит государственной регистрации в порядке, установленном для государственной регистрации актов гражданского состояния. 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брака.</w:t>
      </w:r>
    </w:p>
    <w:p w:rsidR="00326F41" w:rsidRDefault="00000000">
      <w:pPr>
        <w:ind w:left="-15"/>
      </w:pPr>
      <w:r>
        <w:rPr>
          <w:b/>
        </w:rPr>
        <w:t>Следовательно, данное дело подведомственно мировому судье при условии, что Ответчик уклоняется от расторжения брака в органах ЗАГС.</w:t>
      </w:r>
    </w:p>
    <w:p w:rsidR="00326F41" w:rsidRDefault="00000000">
      <w:pPr>
        <w:ind w:left="-15"/>
      </w:pPr>
      <w:r>
        <w:t>Территориальная подсудность рассмотрения настоящего дела устанавливается в соответствии с общими положениями Гражданского процессуального кодекса РФ, но с особенностями, установленными Семейным кодексом РФ.</w:t>
      </w:r>
    </w:p>
    <w:p w:rsidR="00326F41" w:rsidRDefault="00000000">
      <w:pPr>
        <w:ind w:left="-15"/>
      </w:pPr>
      <w:r>
        <w:t>Так, например, в п. 5 Постановления Пленума Верховного Суда РФ от 05.11.1998 г. № 15 «О применении судами законодательства при рассмотрении дел о расторжении брака» сказано, что иск о расторжении брака с лицом, место проживания которого неизвестно, может быть предъявлен по выбору истца, то есть по последнему известному месту жительства ответчика или по месту нахождения его имущества, а в случае, когда с истцом находятся несовершеннолетние дети или выезд к месту жительства ответчика для него по состоянию здоровья затруднителен, - по месту его жительства (ч. ч. 1 и 4 ст. 29 ГПК РФ).</w:t>
      </w:r>
    </w:p>
    <w:p w:rsidR="00326F41" w:rsidRDefault="00000000">
      <w:pPr>
        <w:ind w:left="-15"/>
      </w:pPr>
      <w:r>
        <w:rPr>
          <w:b/>
        </w:rPr>
        <w:t>Истец также просит не назначать примирительные процедуры в рамках судебного разбирательства в соответствии со ст. 22 Семейного кодекса РФ.</w:t>
      </w:r>
    </w:p>
    <w:p w:rsidR="00326F41" w:rsidRDefault="00000000">
      <w:pPr>
        <w:ind w:left="-15"/>
      </w:pPr>
      <w:r>
        <w:t>Согласно п. 10 Постановления Пленума Верховного Суда РФ от 05.11.1998 г. № 15 «О применении судами законодательства при рассмотрении дел о расторжении брака»:</w:t>
      </w:r>
    </w:p>
    <w:p w:rsidR="00326F41" w:rsidRDefault="00000000">
      <w:pPr>
        <w:ind w:left="-15"/>
      </w:pPr>
      <w:r>
        <w:t>«По делам о расторжении брака в случаях, когда один из супругов не согласен на прекращение брака, суд в соответствии с п. 2 ст. 22 СК РФ вправе отложить разбирательство дела, назначив супругам срок для примирения в пределах трех месяцев. В зависимости от обстоятельств дела суд вправе по просьбе супруга или по собственной инициативе откладывать разбирательство дела несколько раз с тем, однако, чтобы в общей сложности период времени, предоставляемый супругам для примирения, не превышал установленный законом трехмесячный срок.</w:t>
      </w:r>
    </w:p>
    <w:p w:rsidR="00326F41" w:rsidRDefault="00000000">
      <w:pPr>
        <w:ind w:left="-15"/>
      </w:pPr>
      <w:r>
        <w:t>Срок, назначенный для примирения, может быть сокращен, если об этом просят стороны, а причины, указанные ими, будут признаны судом уважительными. В этих случаях должно быть вынесено мотивированное определение.</w:t>
      </w:r>
    </w:p>
    <w:p w:rsidR="00326F41" w:rsidRDefault="00000000">
      <w:pPr>
        <w:ind w:left="-15"/>
      </w:pPr>
      <w:r>
        <w:t>Определение суда об отложении разбирательства дела для примирения супругов не может быть обжаловано в апелляционном и кассационном порядке, так как оно не исключает возможности дальнейшего движения дела (п. 2 ч. 1 ст. 371 ГПК РФ)».</w:t>
      </w:r>
    </w:p>
    <w:p w:rsidR="00326F41" w:rsidRDefault="00000000">
      <w:pPr>
        <w:ind w:left="-15"/>
      </w:pPr>
      <w:r>
        <w:t>Кроме того, согласно п. 20 Постановление Пленума Верховного Суда РФ от 05.11.1998 N 15 (ред. от 06.02.2007) «О применении судами законодательства при рассмотрении дел о расторжении брака», решение суда о расторжении брака должно быть законным и основанным на доказательствах, всесторонне проверенных в судебном заседании. Если после истечения назначенного судом срока примирение супругов не состоялось и хотя бы один из них настаивает на прекращении брака, суд расторгает брак.</w:t>
      </w:r>
    </w:p>
    <w:p w:rsidR="00326F41" w:rsidRDefault="00000000">
      <w:pPr>
        <w:ind w:left="-15"/>
      </w:pPr>
      <w:r>
        <w:rPr>
          <w:b/>
        </w:rPr>
        <w:t>Дополнительно Истец отмечает, что им была исполнена обязанность о направлении уведомления в адрес Ответчика, что подтверждается следующим:</w:t>
      </w:r>
    </w:p>
    <w:p w:rsidR="00326F41" w:rsidRDefault="00000000">
      <w:pPr>
        <w:ind w:left="-15"/>
      </w:pPr>
      <w:r>
        <w:t xml:space="preserve">В соответствии с п. 6 ст. 132 ГПК РФ к исковому заявлению прилагаются уведомление о вручении </w:t>
      </w:r>
      <w:r>
        <w:rPr>
          <w:b/>
        </w:rPr>
        <w:t xml:space="preserve">или иные документы, подтверждающие направление </w:t>
      </w:r>
      <w:r>
        <w:t>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326F41" w:rsidRDefault="00000000">
      <w:pPr>
        <w:ind w:left="-15"/>
      </w:pPr>
      <w:r>
        <w:t xml:space="preserve">В соответствии с п. 1.1 ст.35 ГПК РФ </w:t>
      </w:r>
      <w:r>
        <w:rPr>
          <w:b/>
        </w:rPr>
        <w:t>лица, участвующие в деле, вправе представлять в суд документы</w:t>
      </w:r>
      <w:r>
        <w:t xml:space="preserve"> как на бумажном носителе, так и </w:t>
      </w:r>
      <w:r>
        <w:rPr>
          <w:b/>
        </w:rPr>
        <w:t>в электронном виде, в том числе в форме электронного документа, подписанного электронной подписью</w:t>
      </w:r>
      <w:r>
        <w:t xml:space="preserve"> в порядке, установленном законодательством Российской Федерации.</w:t>
      </w:r>
    </w:p>
    <w:p w:rsidR="00326F41" w:rsidRDefault="00000000">
      <w:pPr>
        <w:ind w:left="-15"/>
      </w:pPr>
      <w:r>
        <w:t xml:space="preserve">В соответствии с п. 1.2 ст. 35 ГПК РФ </w:t>
      </w:r>
      <w:r>
        <w:rPr>
          <w:b/>
        </w:rPr>
        <w:t xml:space="preserve">лица, участвующие в деле, вправе представлять в суд иные документы в электронном виде, в том числе в форме электронных документов, выполненных указанными лицами либо иными лицами, </w:t>
      </w:r>
      <w:r>
        <w:t xml:space="preserve">органами, </w:t>
      </w:r>
      <w:r>
        <w:rPr>
          <w:b/>
        </w:rPr>
        <w:t>организациями.</w:t>
      </w:r>
      <w:r>
        <w:t xml:space="preserve"> Такие документы выполняются </w:t>
      </w:r>
      <w:r>
        <w:rPr>
          <w:b/>
        </w:rPr>
        <w:t>в форме, установленной для этих документов законодательством Российской Федерации, или в свободной форме,</w:t>
      </w:r>
      <w:r>
        <w:t xml:space="preserve"> если законодательством Российской Федерации форма для таких документов не установлена.</w:t>
      </w:r>
    </w:p>
    <w:p w:rsidR="00326F41" w:rsidRDefault="00000000">
      <w:pPr>
        <w:ind w:left="-15"/>
      </w:pPr>
      <w:r>
        <w:t>Таким образом, действующее процессуальное законодательство не закрепляет в качестве единственно возможного варианта документа, подтверждающего направления иска и приложений к нему ответчику, почтового уведомления о вручении.</w:t>
      </w:r>
    </w:p>
    <w:p w:rsidR="00326F41" w:rsidRDefault="00000000">
      <w:pPr>
        <w:ind w:left="-15"/>
      </w:pPr>
      <w:r>
        <w:t>На практике допускается и нарочное вручение, и использование электронной почты, и примененный в данном случае вариант электронного уведомления ответчика.</w:t>
      </w:r>
    </w:p>
    <w:p w:rsidR="00326F41" w:rsidRDefault="00000000">
      <w:pPr>
        <w:ind w:left="-15"/>
      </w:pPr>
      <w:r>
        <w:t>Во исполнение указанной обязанности, Истцом были направлены документы в электронном виде в адрес Ответчика, что подтверждается приложенным уведомление ответчика. В данном электронном уведомлении указаны отправитель, получатель и перечень отправленных документов (исковое заявление и прилагаемые к нему документы) с указанием листов, статус и дата операции.</w:t>
      </w:r>
    </w:p>
    <w:p w:rsidR="00326F41" w:rsidRDefault="00000000">
      <w:pPr>
        <w:ind w:left="-15"/>
      </w:pPr>
      <w:r>
        <w:t xml:space="preserve">Электронное уведомление – это почтовое отправление, созданное в форме электронного документа, подписанное электронной подписью отправителя. Законодательство не содержит запрета на такую отправку корреспонденции (в электронном виде). Более того, раздел VI Правил оказания услуг почтовой связи, утв. Приказом </w:t>
      </w:r>
      <w:proofErr w:type="spellStart"/>
      <w:r>
        <w:t>Минкомсвязи</w:t>
      </w:r>
      <w:proofErr w:type="spellEnd"/>
      <w:r>
        <w:t xml:space="preserve"> России от 31.07.2014 №234, прямо регулирует данный вопрос применительно к аналогичному сервису отправки электронных заказных писем онлайн с получением квитанции, подтверждающей направление письма, предоставляемому АО «Почта России» (</w:t>
      </w:r>
      <w:hyperlink r:id="rId6">
        <w:r>
          <w:rPr>
            <w:color w:val="0000EE"/>
            <w:u w:val="single" w:color="0000EE"/>
          </w:rPr>
          <w:t>htt</w:t>
        </w:r>
      </w:hyperlink>
      <w:hyperlink r:id="rId7">
        <w:r>
          <w:rPr>
            <w:color w:val="0000EE"/>
          </w:rPr>
          <w:t>p</w:t>
        </w:r>
      </w:hyperlink>
      <w:hyperlink r:id="rId8">
        <w:r>
          <w:rPr>
            <w:color w:val="0000EE"/>
            <w:u w:val="single" w:color="0000EE"/>
          </w:rPr>
          <w:t>s://zakaznoe.</w:t>
        </w:r>
      </w:hyperlink>
      <w:hyperlink r:id="rId9">
        <w:r>
          <w:rPr>
            <w:color w:val="0000EE"/>
          </w:rPr>
          <w:t>p</w:t>
        </w:r>
      </w:hyperlink>
      <w:hyperlink r:id="rId10">
        <w:r>
          <w:rPr>
            <w:color w:val="0000EE"/>
            <w:u w:val="single" w:color="0000EE"/>
          </w:rPr>
          <w:t>ochta.ru/</w:t>
        </w:r>
      </w:hyperlink>
      <w:hyperlink r:id="rId11">
        <w:r>
          <w:t>)</w:t>
        </w:r>
      </w:hyperlink>
      <w:r>
        <w:t>.</w:t>
      </w:r>
    </w:p>
    <w:p w:rsidR="00326F41" w:rsidRDefault="00000000">
      <w:pPr>
        <w:ind w:left="-15"/>
      </w:pPr>
      <w:r>
        <w:rPr>
          <w:b/>
        </w:rPr>
        <w:t>Таким образом, обязанность по направлению искового заявления и иных отсутствующих документов в адрес Ответчика Истцом исполнена.</w:t>
      </w:r>
    </w:p>
    <w:p w:rsidR="00326F41" w:rsidRDefault="00000000">
      <w:pPr>
        <w:ind w:left="-15"/>
      </w:pPr>
      <w:r>
        <w:t xml:space="preserve">При этом Истец обращает внимание, что </w:t>
      </w:r>
      <w:r>
        <w:rPr>
          <w:b/>
        </w:rPr>
        <w:t>им была надлежащим образом исполнена обязанность по уплате государственной пошлины</w:t>
      </w:r>
      <w:r>
        <w:t xml:space="preserve"> в соответствии со ст. 333.19 Налогового кодекса РФ.</w:t>
      </w:r>
    </w:p>
    <w:p w:rsidR="00326F41" w:rsidRDefault="00000000">
      <w:pPr>
        <w:ind w:left="-15"/>
      </w:pPr>
      <w:r>
        <w:t>В настоящем случае к исковому заявлению приложен платежный документ, а именно – электронный файл (квитанция в электронном виде), полученный в электронной форме через сеть «Интернет», имеющий штамп банка об исполнении платежа, в полном соответствии с действующим законодательством.</w:t>
      </w:r>
    </w:p>
    <w:p w:rsidR="00326F41" w:rsidRDefault="00000000">
      <w:pPr>
        <w:ind w:left="-15"/>
      </w:pPr>
      <w:r>
        <w:t>Как следует из содержания п.1.1 Положения Банка России от 29.06.2021 г. № 762П «О правилах осуществления перевода денежных средств», Банк России, кредитные организации (далее при совместном упоминании - банки) осуществляют перевод денежных средств по банковским счетам и без открытия банковских счетов в рамках применяемых форм безналичных расчетов на основании распоряжений о переводе денежных средств (далее - распоряжения), составляемых плательщиками, получателями средств, а также лицами, органами, имеющими право на основании федеральных законов предъявлять распоряжения к банковским счетам плательщиков (далее взыскатели средств), банками. Перевод денежных средств осуществляется в рамках следующих форм безналичных расчетов: расчетов в форме перевода электронных денежных средств.</w:t>
      </w:r>
    </w:p>
    <w:p w:rsidR="00326F41" w:rsidRDefault="00000000">
      <w:pPr>
        <w:ind w:left="-15"/>
      </w:pPr>
      <w:r>
        <w:t>Перевод электронных денежных средств осуществляется в соответствии с Федеральным законом от 27 июня 2011 года N 161-ФЗ "О национальной платежной системе" (Собрание законодательства Российской Федерации, 2011, N 27, ст. 3872; 2021, N 24, ст. 4205) (далее - Федеральный закон от 27 июня 2011 года N 161-ФЗ) и договорами с учетом требований настоящего Положения.</w:t>
      </w:r>
    </w:p>
    <w:p w:rsidR="00326F41" w:rsidRDefault="00000000">
      <w:pPr>
        <w:ind w:left="-15"/>
      </w:pPr>
      <w:r>
        <w:t>Формы безналичных расчетов избираются плательщиками, получателями средств самостоятельно.</w:t>
      </w:r>
    </w:p>
    <w:p w:rsidR="00326F41" w:rsidRDefault="00000000">
      <w:pPr>
        <w:ind w:left="-15"/>
      </w:pPr>
      <w:r>
        <w:t>Согласно п. 1.3. вышеназванного Положения Банка России, Банки осуществляют перевод денежных средств по банковским счетам посредством: списания денежных средств с банковских счетов плательщиков и зачисления денежных средств на банковские счета получателей средств.</w:t>
      </w:r>
    </w:p>
    <w:p w:rsidR="00326F41" w:rsidRDefault="00000000">
      <w:pPr>
        <w:ind w:left="-15"/>
      </w:pPr>
      <w:r>
        <w:t>В п. 1.9. данного Положения Банка России сказано, что перевод денежных средств осуществляется банками по распоряжениям клиентов, взыскателей средств, банков (далее - отправители распоряжений) в электронном виде, в том числе с использованием электронных средств платежа, или на бумажных носителях.</w:t>
      </w:r>
    </w:p>
    <w:p w:rsidR="00326F41" w:rsidRDefault="00000000">
      <w:pPr>
        <w:ind w:left="-15"/>
      </w:pPr>
      <w:r>
        <w:t>В силу п. 4.7. Положения Банка России, исполнение распоряжения в электронном виде в целях осуществления перевода денежных средств по банковскому счету подтверждается:</w:t>
      </w:r>
    </w:p>
    <w:p w:rsidR="00326F41" w:rsidRDefault="00000000">
      <w:pPr>
        <w:ind w:left="-15"/>
      </w:pPr>
      <w:r>
        <w:t>банком плательщика посредством направления плательщику извещения в электронном виде о списании денежных средств с банковского счета плательщика с указанием реквизитов исполненного распоряжения или посредством направления исполненного распоряжения в электронном виде с указанием даты исполнения. При этом указанным извещением банка плательщика могут одновременно подтверждаться прием к исполнению распоряжения в электронном виде и его исполнение; банком получателя средств посредством направления получателю средств извещения в электронном виде о зачислении денежных средств на банковский счет получателя средств с указанием реквизитов исполненного распоряжения или посредством направления исполненного распоряжения в электронном виде с указанием даты исполнения.</w:t>
      </w:r>
    </w:p>
    <w:p w:rsidR="00326F41" w:rsidRDefault="00000000">
      <w:pPr>
        <w:ind w:left="-15"/>
      </w:pPr>
      <w:r>
        <w:t>Истец уплатил государственную пошлину с применением электронной системы платежей банка. В представленной суду квитанции по операции указана дата платежа, его назначение, сумма, полные координаты плательщика и данные получателя платежа, имеется отметка банка о том, что платеж выполнен.</w:t>
      </w:r>
    </w:p>
    <w:p w:rsidR="00326F41" w:rsidRDefault="00000000">
      <w:pPr>
        <w:ind w:left="-15"/>
      </w:pPr>
      <w:r>
        <w:t>Более того, суду также представлен документ, подтверждающий платёж, имеющий указания о плательщике (Истце), тип операции, дату совершения платежа, сумму платежа, способ оплаты, а также сведения о получателе денежных средств и его реквизитах.</w:t>
      </w:r>
    </w:p>
    <w:p w:rsidR="00326F41" w:rsidRDefault="00000000">
      <w:pPr>
        <w:ind w:left="-15"/>
      </w:pPr>
      <w:r>
        <w:t xml:space="preserve">Таким образом, </w:t>
      </w:r>
      <w:r>
        <w:rPr>
          <w:b/>
        </w:rPr>
        <w:t>Истцом представлены исчерпывающие доказательства, подтверждающие факт оплаты госпошлины.</w:t>
      </w:r>
    </w:p>
    <w:p w:rsidR="00326F41" w:rsidRDefault="00000000">
      <w:pPr>
        <w:spacing w:after="270"/>
        <w:ind w:left="-15"/>
      </w:pPr>
      <w:r>
        <w:t>На основании вышеизложенного, руководствуясь статьей 21 Семейного кодекса РФ, статьями 131, 132 Гражданско-процессуального кодекса Российской Федерации:</w:t>
      </w:r>
    </w:p>
    <w:p w:rsidR="00326F41" w:rsidRDefault="00000000">
      <w:pPr>
        <w:spacing w:after="194" w:line="259" w:lineRule="auto"/>
        <w:ind w:left="3405" w:right="3395" w:hanging="10"/>
        <w:jc w:val="center"/>
      </w:pPr>
      <w:r>
        <w:rPr>
          <w:b/>
        </w:rPr>
        <w:t>Прошу:</w:t>
      </w:r>
    </w:p>
    <w:p w:rsidR="00326F41" w:rsidRDefault="00000000">
      <w:pPr>
        <w:spacing w:after="240"/>
        <w:ind w:left="600" w:hanging="245"/>
      </w:pPr>
      <w:r>
        <w:t>1. Расторгнуть брак между супругами (Истцом и Ответчиком), зарегистрированный 14.04.2023 г.</w:t>
      </w:r>
    </w:p>
    <w:p w:rsidR="00326F41" w:rsidRDefault="00000000">
      <w:pPr>
        <w:spacing w:after="232"/>
        <w:ind w:left="-15" w:firstLine="0"/>
      </w:pPr>
      <w:r>
        <w:rPr>
          <w:b/>
        </w:rPr>
        <w:t>Приложение:</w:t>
      </w:r>
    </w:p>
    <w:p w:rsidR="00326F41" w:rsidRDefault="00000000">
      <w:pPr>
        <w:numPr>
          <w:ilvl w:val="0"/>
          <w:numId w:val="1"/>
        </w:numPr>
        <w:spacing w:after="38"/>
        <w:ind w:hanging="245"/>
      </w:pPr>
      <w:r>
        <w:t>Документ об уведомлении Ответчика.</w:t>
      </w:r>
    </w:p>
    <w:p w:rsidR="00326F41" w:rsidRDefault="00000000">
      <w:pPr>
        <w:numPr>
          <w:ilvl w:val="0"/>
          <w:numId w:val="1"/>
        </w:numPr>
        <w:spacing w:after="38"/>
        <w:ind w:hanging="245"/>
      </w:pPr>
      <w:r>
        <w:t>Свидетельство о заключении брака.</w:t>
      </w:r>
    </w:p>
    <w:p w:rsidR="00326F41" w:rsidRDefault="00000000">
      <w:pPr>
        <w:numPr>
          <w:ilvl w:val="0"/>
          <w:numId w:val="1"/>
        </w:numPr>
        <w:spacing w:after="232"/>
        <w:ind w:hanging="245"/>
      </w:pPr>
      <w:r>
        <w:t>Квитанция об оплате госпошлины.</w:t>
      </w:r>
    </w:p>
    <w:p w:rsidR="00326F41" w:rsidRDefault="00000000" w:rsidP="007A162E">
      <w:pPr>
        <w:spacing w:after="502"/>
        <w:ind w:left="-15" w:firstLine="0"/>
      </w:pPr>
      <w:r>
        <w:t xml:space="preserve">Дата: </w:t>
      </w:r>
      <w:r w:rsidR="006C315B">
        <w:t>2</w:t>
      </w:r>
      <w:r w:rsidR="007A162E">
        <w:t>9.12</w:t>
      </w:r>
      <w:r>
        <w:t>.2023</w:t>
      </w:r>
    </w:p>
    <w:p w:rsidR="00326F41" w:rsidRDefault="00000000">
      <w:pPr>
        <w:spacing w:after="38"/>
        <w:ind w:left="-15" w:firstLine="0"/>
      </w:pPr>
      <w:r>
        <w:t>СЮЗЕВА ДАРЬЯ АЛЕКСАНДРОВНА / __________________</w:t>
      </w:r>
    </w:p>
    <w:sectPr w:rsidR="00326F41">
      <w:pgSz w:w="11899" w:h="16838"/>
      <w:pgMar w:top="556" w:right="969" w:bottom="620" w:left="1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C3E69"/>
    <w:multiLevelType w:val="hybridMultilevel"/>
    <w:tmpl w:val="FFFFFFFF"/>
    <w:lvl w:ilvl="0" w:tplc="0A024A9C">
      <w:start w:val="1"/>
      <w:numFmt w:val="decimal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C2200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83EF6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285F6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1DC4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4C6FA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05214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CE98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EFF16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620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41"/>
    <w:rsid w:val="00326F41"/>
    <w:rsid w:val="003763AC"/>
    <w:rsid w:val="006C315B"/>
    <w:rsid w:val="007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5594E"/>
  <w15:docId w15:val="{B84AC046-C9C8-9141-8F5C-F7AFA15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21" w:lineRule="auto"/>
      <w:ind w:left="955" w:firstLine="59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noe.pochta.ru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zakaznoe.pochta.ru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zakaznoe.pochta.ru/" TargetMode="External" /><Relationship Id="rId11" Type="http://schemas.openxmlformats.org/officeDocument/2006/relationships/hyperlink" Target="https://zakaznoe.pochta.ru/" TargetMode="External" /><Relationship Id="rId5" Type="http://schemas.openxmlformats.org/officeDocument/2006/relationships/image" Target="media/image1.jpg" /><Relationship Id="rId10" Type="http://schemas.openxmlformats.org/officeDocument/2006/relationships/hyperlink" Target="https://zakaznoe.pochta.ru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zakaznoe.pochta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1993</Words>
  <Characters>11362</Characters>
  <Application>Microsoft Office Word</Application>
  <DocSecurity>0</DocSecurity>
  <Lines>94</Lines>
  <Paragraphs>26</Paragraphs>
  <ScaleCrop>false</ScaleCrop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koshechka197200955@gmail.com</cp:lastModifiedBy>
  <cp:revision>4</cp:revision>
  <dcterms:created xsi:type="dcterms:W3CDTF">2023-12-29T05:33:00Z</dcterms:created>
  <dcterms:modified xsi:type="dcterms:W3CDTF">2023-12-29T05:34:00Z</dcterms:modified>
</cp:coreProperties>
</file>