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2"/>
        <w:bidi w:val="0"/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Варикозная болезнь вен нижних конечностей: причины, симптомы и методы лечения. Хроническая венозная недостаточность. Классификация по CEAP.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Варикозная болезнь вен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— это хроническое заболевание, которое характеризуется расширением и удлинением вен, нарушением работы клапанов и, как следствие, нарушением кровообращения. Это состояние может поражать поверхностные вены или глубокие вены, что приводит к различным симптомам и осложнениям.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Варикозная болезнь вен чаще всего развивается из-за слабости венозных стенок и нарушения работы клапанов, которые обеспечивают нормальный ток крови. Это может быть связано с генетической предрасположенностью, гормональными изменениями, беременностью, ожирением, малоподвижным образом жизни или длительным пребыванием в положении стоя.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На ранних стадиях варикозной болезни симптомы могут быть незаметными или слабо выраженными. Однако с течением времени они могут усиливаться и включать:</w:t>
      </w:r>
    </w:p>
    <w:p>
      <w:pPr>
        <w:pStyle w:val="Style32"/>
        <w:widowControl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Отёчность ног, особенно в вечернее время.</w:t>
      </w:r>
    </w:p>
    <w:p>
      <w:pPr>
        <w:pStyle w:val="Style32"/>
        <w:widowControl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Чувство тяжести и усталости в ногах.</w:t>
      </w:r>
    </w:p>
    <w:p>
      <w:pPr>
        <w:pStyle w:val="Style32"/>
        <w:widowControl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Ночные судороги в икроножных мышцах.</w:t>
      </w:r>
    </w:p>
    <w:p>
      <w:pPr>
        <w:pStyle w:val="Style32"/>
        <w:widowControl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Появление сосудистых «звёздочек» и «сеточек».</w:t>
      </w:r>
    </w:p>
    <w:p>
      <w:pPr>
        <w:pStyle w:val="Style32"/>
        <w:widowControl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283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Видимое расширение вен.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Если не обратить внимание на эти симптомы и не начать лечение, варикозная болезнь может прогрессировать и привести к более серьёзным осложнениям, таким как тромбофлебит, трофические язвы и даже тромбоэмболия лёгочной артерии.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Для диагностики варикозной болезни врач может провести осмотр, собрать анамнез и назначить дополнительные исследования, такие как ультразвуковое дуплексное сканирование вен (УЗДС). Этот метод позволяет оценить состояние вен, определить наличие и степень нарушения кровообращения.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Лечение варикозной болезни может включать как консервативные методы, так и хирургическое вмешательство. Выбор метода зависит от стадии заболевания, наличия осложнений и индивидуальных особенностей пациента.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Консервативные методы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включают:</w:t>
      </w:r>
    </w:p>
    <w:p>
      <w:pPr>
        <w:pStyle w:val="Style32"/>
        <w:widowControl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Ношение компрессионного трикотажа.</w:t>
      </w:r>
    </w:p>
    <w:p>
      <w:pPr>
        <w:pStyle w:val="Style32"/>
        <w:widowControl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Лечебную физкультуру и специальные упражнения.</w:t>
      </w:r>
    </w:p>
    <w:p>
      <w:pPr>
        <w:pStyle w:val="Style32"/>
        <w:widowControl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Соблюдение диеты и контроль веса.</w:t>
      </w:r>
    </w:p>
    <w:p>
      <w:pPr>
        <w:pStyle w:val="Style32"/>
        <w:widowControl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283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Ограничение пребывания в положении стоя или сидя.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Хирургические методы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включают:</w:t>
      </w:r>
    </w:p>
    <w:p>
      <w:pPr>
        <w:pStyle w:val="Style32"/>
        <w:widowControl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Флебэктомию — удаление поражённых вен через небольшие разрезы.</w:t>
      </w:r>
    </w:p>
    <w:p>
      <w:pPr>
        <w:pStyle w:val="Style32"/>
        <w:widowControl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Склеротерапию — введение специального препарата в поражённые вены для их закрытия.</w:t>
      </w:r>
    </w:p>
    <w:p>
      <w:pPr>
        <w:pStyle w:val="Style32"/>
        <w:widowControl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spacing w:before="0" w:after="283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Эндоваскулярную лазерную коагуляцию — воздействие лазером на поражённые вены изнутри.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Выбор метода лечения должен осуществляться врачом после тщательного обследования и оценки состояния пациента. Важно помнить, что своевременное обращение к специалисту и соблюдение его рекомендаций помогут предотвратить развитие осложнений и сохранить здоровье вен.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Профилактика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Профилактика варикозной болезни включает:</w:t>
      </w:r>
    </w:p>
    <w:p>
      <w:pPr>
        <w:pStyle w:val="Style32"/>
        <w:widowControl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Поддержание здорового веса.</w:t>
      </w:r>
    </w:p>
    <w:p>
      <w:pPr>
        <w:pStyle w:val="Style32"/>
        <w:widowControl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Регулярные физические упражнения.</w:t>
      </w:r>
    </w:p>
    <w:p>
      <w:pPr>
        <w:pStyle w:val="Style32"/>
        <w:widowControl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Ношение удобной обуви и одежды.</w:t>
      </w:r>
    </w:p>
    <w:p>
      <w:pPr>
        <w:pStyle w:val="Style32"/>
        <w:widowControl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Избегание длительного пребывания в положении стоя или сидя.</w:t>
      </w:r>
    </w:p>
    <w:p>
      <w:pPr>
        <w:pStyle w:val="Style32"/>
        <w:widowControl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283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Правильное питание с ограничением соли и жидкости.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Важно помнить, что профилактика и своевременное лечение варикозной болезни помогут сохранить здоровье вен и предотвратить развитие осложнений.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Хроническая венозная недостаточность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(ХВН) — это состояние, при котором нарушается отток крови по венам нижних конечностей. Это приводит к повышению давления в венозной системе, расширению вен и нарушению работы клапанов.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ХВН может проявляться различными симптомами, такими как отёчность ног, чувство тяжести и усталости, ночные судороги, появление сосудистых «звёздочек» и «сеточек», видимое расширение вен. Если не обратить внимание на эти симптомы и не начать лечение, ХВН может прогрессировать и привести к более серьёзным осложнениям.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Для классификации ХВН используется система </w:t>
      </w: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CEAP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(Clinical, Etiological, Anatomical, Pathophysiological), которая включает в себя оценку клинических проявлений, этиологических факторов, анатомических изменений и патофизиологических механизмов.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Клинические проявления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оцениваются по следующим признакам:</w:t>
      </w:r>
    </w:p>
    <w:p>
      <w:pPr>
        <w:pStyle w:val="Style32"/>
        <w:widowControl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C1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— телеангиэктазии (сосудистые «звёздочки» и «сеточки»);</w:t>
      </w:r>
    </w:p>
    <w:p>
      <w:pPr>
        <w:pStyle w:val="Style32"/>
        <w:widowControl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C2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— варикозное расширение вен;</w:t>
      </w:r>
    </w:p>
    <w:p>
      <w:pPr>
        <w:pStyle w:val="Style32"/>
        <w:widowControl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C3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— отёк;</w:t>
      </w:r>
    </w:p>
    <w:p>
      <w:pPr>
        <w:pStyle w:val="Style32"/>
        <w:widowControl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C4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— пигментация и липодерматосклероз (уплотнение кожи);</w:t>
      </w:r>
    </w:p>
    <w:p>
      <w:pPr>
        <w:pStyle w:val="Style32"/>
        <w:widowControl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C5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— кожные язвы;</w:t>
      </w:r>
    </w:p>
    <w:p>
      <w:pPr>
        <w:pStyle w:val="Style32"/>
        <w:widowControl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283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C6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— клиническая стадия хронической венозной недостаточности не может быть достоверно определена.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Этиологические факторы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оценивают по следующим признакам:</w:t>
      </w:r>
    </w:p>
    <w:p>
      <w:pPr>
        <w:pStyle w:val="Style32"/>
        <w:widowControl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E1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— врождённая патология вен;</w:t>
      </w:r>
    </w:p>
    <w:p>
      <w:pPr>
        <w:pStyle w:val="Style32"/>
        <w:widowControl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E2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— посттромбофлебитическая болезнь;</w:t>
      </w:r>
    </w:p>
    <w:p>
      <w:pPr>
        <w:pStyle w:val="Style32"/>
        <w:widowControl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E3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— ожирение;</w:t>
      </w:r>
    </w:p>
    <w:p>
      <w:pPr>
        <w:pStyle w:val="Style32"/>
        <w:widowControl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E4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— беременность;</w:t>
      </w:r>
    </w:p>
    <w:p>
      <w:pPr>
        <w:pStyle w:val="Style32"/>
        <w:widowControl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E5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— профессиональные факторы (длительное пребывание в положении стоя или сидя);</w:t>
      </w:r>
    </w:p>
    <w:p>
      <w:pPr>
        <w:pStyle w:val="Style32"/>
        <w:widowControl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spacing w:before="0" w:after="283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E6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— другие факторы.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Анатомические изменения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оценивают по следующим признакам:</w:t>
      </w:r>
    </w:p>
    <w:p>
      <w:pPr>
        <w:pStyle w:val="Style32"/>
        <w:widowControl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A1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— поверхностные вены;</w:t>
      </w:r>
    </w:p>
    <w:p>
      <w:pPr>
        <w:pStyle w:val="Style32"/>
        <w:widowControl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A2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— перфорантные вены;</w:t>
      </w:r>
    </w:p>
    <w:p>
      <w:pPr>
        <w:pStyle w:val="Style32"/>
        <w:widowControl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A3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— глубокие вены;</w:t>
      </w:r>
    </w:p>
    <w:p>
      <w:pPr>
        <w:pStyle w:val="Style32"/>
        <w:widowControl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spacing w:before="0" w:after="283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An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— изменения не могут быть достоверно определены.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Патофизиологические механизмы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оценивают по следующим признакам:</w:t>
      </w:r>
    </w:p>
    <w:p>
      <w:pPr>
        <w:pStyle w:val="Style32"/>
        <w:widowControl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P1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— рефлюкс (обратный ток крови);</w:t>
      </w:r>
    </w:p>
    <w:p>
      <w:pPr>
        <w:pStyle w:val="Style32"/>
        <w:widowControl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P2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— обструкция (закупорка вен);</w:t>
      </w:r>
    </w:p>
    <w:p>
      <w:pPr>
        <w:pStyle w:val="Style32"/>
        <w:widowControl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spacing w:before="0" w:after="283"/>
        <w:ind w:left="707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Pn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 — патофизиологические механизмы не могут быть достоверно определены.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Классификация ХВН по системе CEAP позволяет более точно определить стадию заболевания и выбрать наиболее эффективный метод лечения. Лечение ХВН может включать как консервативные методы, так и хирургическое вмешательство. Выбор метода зависит от стадии заболевания, наличия осложнений и индивидуальных особенностей пациента.</w:t>
      </w:r>
    </w:p>
    <w:p>
      <w:pPr>
        <w:pStyle w:val="Style39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variable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3</Pages>
  <Words>665</Words>
  <Characters>4517</Characters>
  <CharactersWithSpaces>5103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2024-12-04T12:10:10Z</dcterms:created>
  <dc:creator/>
  <dc:description/>
  <dc:language>ru-RU</dc:language>
  <cp:lastModifiedBy/>
  <dcterms:modified xsi:type="dcterms:W3CDTF">2024-12-04T12:11:03Z</dcterms:modified>
  <cp:revision>2</cp:revision>
  <dc:subject/>
  <dc:title>Default</dc:title>
</cp:coreProperties>
</file>