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Клиент: Частная медицинская организация из Санкт-Петербурга с широким спектром услуг.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клиента:</w:t>
        <w:br w:type="textWrapping"/>
        <w:t xml:space="preserve"> В марте 2025 года клиент обратился с целью повышения эффективности рекламных кампаний и улучшения качества трафика через перезапуск рекламы и модернизацию посадочной страницы. Главной задачей было увеличить релевантность контента без крупных изменений на сайте и дополнительных затрат.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fiti90asbj82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Задачи, поставленные клиентом: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Обеспечить стабильный поток трафика в отдел продаж.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Повысить качество трафика и уменьшить количество спам-заявок.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Увеличить эффективность рекламного бюджета.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Снизить стоимость обращения до 12 000 рублей.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eucv8trw8tn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Решение: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подошли к задаче комплексно: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Запуск контекстной рекламы с качественной сегментацией РК.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Модернизация посадочной страницы.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Внедрение динамической подмены заголовков для повышения релевантности.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bj8qwcqbjwol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Этапы работы: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1bjcnlcubi3s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Ситуация на старте: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стартовал в условиях высокой конкуренции и перегретого аукциона на поиске. Средняя стоимость лида была высока — около 20 000 рублей, а большая часть заявок поступала с конкурентных компаний и была спамом.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ajn4lu84jwzn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Запуск контекстной рекламы: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клиента был настроен коллтрекинг Calltouch, который мы провели в технический аудит и актуализировали настройки и интеграции. После этого мы собрали и запустили контекстную рекламу с детальной сегментацией под каждую услугу. В основном это были поисковые кампании с разбивкой по направлениям клиники, а также брендовая кампания.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Дополнительно были использованы сетевые кампании, товарная реклама и Мастер Кампаний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52cyu2jca7xi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Модернизация посадочной страницы: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Первоначально стоимость лида оставалась высокой — до 16 700 рублей. В майские праздники CPL вырос до 31 800 рублей, что было связано с сезонным спадом трафика. После праздников показатели немного стабилизировались, но через несколько недель стоимость обращений вновь увеличилась — CPL достиг 26 823 рублей.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2098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провели аудит и выявили, что одна из причин — устаревшая посадочная страница, которая не соответствовала ожиданиям аудитории и была малоэффективной для удержания пользователей.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Решение: мы модернизировали страницу, улучшив структуру, добавив блоки с УТП и подготовив уникальные тексты для каждой группы пользователей.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j0i5l9a7o44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Динамическая подмена заголовков: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Следующим шагом стала динамическая подмена заголовков на посадочной странице, что позволило усилить эффект от сегментации и новой структуры лендинга.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это дает?: пользователи, которые видят объявление по своему запросу, переходят на сайт, где заголовок на посадочной странице совпадает с текстом объявления. Это значительно увеличивает релевантность и конверсию.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2 недели после внедрения подмены заголовков мы заметили, что CPL снизился на 25%, а количество лидов увеличилось на 48%. CTR вырос с 0,74% до 1,04%, а конверсия лендинга увеличилась более чем в 2 раза — с 0,19% до 0,41%.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помощью Яндекс.Метрики мы также наблюдали, как процент отказов снизился более чем в 4 раза, а глубина просмотра увеличилась на 25% — пользователи начали дольше оставаться на сайте и активнее взаимодействовать с контентом.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451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47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onndskfsr6sv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Оптимизация контекстной рекламы: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внедрения динамической подмены заголовков мы продолжили оптимизировать кампании, исключив нерелевантные запросы и площадки, отключив автотаргетинг и неэффективные группы объявлений, а также перераспределив бюджеты на наиболее результативные кампании.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Дополнительно начали тестировать Микс на поиске — кампанию, где все направления собраны в одном наборе объявлений.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экспериментов стало создание ночной версии Микс-формата, работающего с 00:00 до 06:00. Эта кампания принесла 19 лидов по цене 12 400 рублей.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dqz95fuu6uz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114300" distT="114300" distL="114300" distR="114300">
            <wp:extent cx="5731200" cy="15875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vzy2741hklh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ekh4gj2e90uk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Результаты: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выполнения всех оптимизаций и внедрения динамической подмены заголовков, мы достигли следующих результатов: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Средняя стоимость лида снизилась с 12 571,72 рублей до 8 918,15 рублей.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лидов увеличилось с 145 до 211.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Конверсия лендинга увеличилась в 2,16 раза.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Глубина просмотра увеличилась на 25%.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Процент отказов сократился более чем в 4 раза.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.Вывод: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Оптимизация рекламных кампаний, внедрение динамической подмены заголовков и модернизация посадочной страницы привели к значительному снижению стоимости лида, увеличению количества заявок и улучшению всех ключевых показателей. Грамотно реализованная стратегия дала ощутимые результаты и повысила эффективность работы рекламных кампаний без необходимости значительных затрат на доработки сайта.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